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497"/>
        <w:gridCol w:w="4523"/>
      </w:tblGrid>
      <w:tr w:rsidR="00165F72" w:rsidRPr="00707A47" w14:paraId="73E221D8" w14:textId="77777777" w:rsidTr="002949ED">
        <w:tc>
          <w:tcPr>
            <w:tcW w:w="4497" w:type="dxa"/>
            <w:tcBorders>
              <w:right w:val="single" w:sz="4" w:space="0" w:color="auto"/>
            </w:tcBorders>
          </w:tcPr>
          <w:p w14:paraId="687C2441" w14:textId="77777777" w:rsidR="000C40D7" w:rsidRPr="00707A47" w:rsidRDefault="00165F72" w:rsidP="00826D4C">
            <w:pPr>
              <w:rPr>
                <w:rFonts w:cs="Arial"/>
              </w:rPr>
            </w:pPr>
            <w:r w:rsidRPr="00707A47">
              <w:rPr>
                <w:rFonts w:cs="Arial"/>
                <w:b/>
              </w:rPr>
              <w:t xml:space="preserve">HISHAM HAMED, </w:t>
            </w:r>
            <w:r w:rsidRPr="00707A47">
              <w:rPr>
                <w:rFonts w:cs="Arial"/>
                <w:bCs/>
              </w:rPr>
              <w:t>individually</w:t>
            </w:r>
            <w:r w:rsidRPr="00707A47">
              <w:rPr>
                <w:rFonts w:cs="Arial"/>
                <w:b/>
              </w:rPr>
              <w:t>,</w:t>
            </w:r>
            <w:r w:rsidRPr="00707A47">
              <w:rPr>
                <w:rFonts w:cs="Arial"/>
              </w:rPr>
              <w:t xml:space="preserve"> </w:t>
            </w:r>
          </w:p>
          <w:p w14:paraId="5933C507" w14:textId="03D2BDE8" w:rsidR="000C40D7" w:rsidRPr="00707A47" w:rsidRDefault="00165F72" w:rsidP="00F06095">
            <w:pPr>
              <w:tabs>
                <w:tab w:val="right" w:pos="4281"/>
              </w:tabs>
              <w:rPr>
                <w:rFonts w:cs="Arial"/>
                <w:b/>
              </w:rPr>
            </w:pPr>
            <w:r w:rsidRPr="00707A47">
              <w:rPr>
                <w:rFonts w:cs="Arial"/>
              </w:rPr>
              <w:t>and</w:t>
            </w:r>
            <w:r w:rsidRPr="00707A47">
              <w:rPr>
                <w:rFonts w:cs="Arial"/>
                <w:b/>
              </w:rPr>
              <w:t xml:space="preserve"> </w:t>
            </w:r>
            <w:r w:rsidRPr="00707A47">
              <w:rPr>
                <w:rFonts w:cs="Arial"/>
              </w:rPr>
              <w:t>derivatively on behalf of</w:t>
            </w:r>
            <w:r w:rsidRPr="00707A47">
              <w:rPr>
                <w:rFonts w:cs="Arial"/>
                <w:b/>
              </w:rPr>
              <w:t xml:space="preserve"> </w:t>
            </w:r>
            <w:r w:rsidR="00F06095">
              <w:rPr>
                <w:rFonts w:cs="Arial"/>
                <w:b/>
              </w:rPr>
              <w:tab/>
            </w:r>
          </w:p>
          <w:p w14:paraId="183887BC" w14:textId="7D87AE39" w:rsidR="00165F72" w:rsidRPr="00707A47" w:rsidRDefault="00165F72" w:rsidP="00826D4C">
            <w:pPr>
              <w:rPr>
                <w:rFonts w:cs="Arial"/>
                <w:b/>
                <w:bCs/>
              </w:rPr>
            </w:pPr>
            <w:r w:rsidRPr="00707A47">
              <w:rPr>
                <w:rFonts w:cs="Arial"/>
                <w:b/>
              </w:rPr>
              <w:t>SIXTEEN PLUS CORPORATION</w:t>
            </w:r>
            <w:r w:rsidRPr="00707A47">
              <w:rPr>
                <w:rFonts w:cs="Arial"/>
                <w:b/>
                <w:bCs/>
              </w:rPr>
              <w:t>,</w:t>
            </w:r>
          </w:p>
          <w:p w14:paraId="4BBBF0C4" w14:textId="77777777" w:rsidR="00165F72" w:rsidRPr="00707A47" w:rsidRDefault="00165F72" w:rsidP="00826D4C">
            <w:pPr>
              <w:rPr>
                <w:rFonts w:cs="Arial"/>
                <w:b/>
                <w:bCs/>
              </w:rPr>
            </w:pPr>
          </w:p>
          <w:p w14:paraId="04107542" w14:textId="77777777" w:rsidR="00165F72" w:rsidRPr="00707A47" w:rsidRDefault="00165F72" w:rsidP="00826D4C">
            <w:pPr>
              <w:rPr>
                <w:rFonts w:cs="Arial"/>
                <w:bCs/>
                <w:i/>
              </w:rPr>
            </w:pPr>
            <w:r w:rsidRPr="00707A47">
              <w:rPr>
                <w:rFonts w:cs="Arial"/>
                <w:b/>
                <w:bCs/>
              </w:rPr>
              <w:tab/>
            </w:r>
            <w:r w:rsidRPr="00707A47">
              <w:rPr>
                <w:rFonts w:cs="Arial"/>
                <w:b/>
                <w:bCs/>
              </w:rPr>
              <w:tab/>
            </w:r>
            <w:r w:rsidRPr="00707A47">
              <w:rPr>
                <w:rFonts w:cs="Arial"/>
                <w:bCs/>
                <w:i/>
              </w:rPr>
              <w:t>Plaintiff,</w:t>
            </w:r>
          </w:p>
          <w:p w14:paraId="066F2797" w14:textId="6360D5D5" w:rsidR="00165F72" w:rsidRPr="00707A47" w:rsidRDefault="00165F72" w:rsidP="00826D4C">
            <w:pPr>
              <w:rPr>
                <w:rFonts w:cs="Arial"/>
                <w:bCs/>
              </w:rPr>
            </w:pPr>
            <w:r w:rsidRPr="00707A47">
              <w:rPr>
                <w:rFonts w:cs="Arial"/>
                <w:b/>
                <w:bCs/>
              </w:rPr>
              <w:tab/>
            </w:r>
            <w:r w:rsidRPr="00707A47">
              <w:rPr>
                <w:rFonts w:cs="Arial"/>
                <w:bCs/>
              </w:rPr>
              <w:t>v.</w:t>
            </w:r>
          </w:p>
          <w:p w14:paraId="14F82E2A" w14:textId="77777777" w:rsidR="00212EA8" w:rsidRPr="00707A47" w:rsidRDefault="00212EA8" w:rsidP="00826D4C">
            <w:pPr>
              <w:rPr>
                <w:rFonts w:cs="Arial"/>
                <w:bCs/>
              </w:rPr>
            </w:pPr>
          </w:p>
          <w:p w14:paraId="714E91B0" w14:textId="100FB64F" w:rsidR="00165F72" w:rsidRPr="00707A47" w:rsidRDefault="00165F72" w:rsidP="00826D4C">
            <w:pPr>
              <w:pStyle w:val="yiv784145645msonormal"/>
              <w:spacing w:before="0" w:beforeAutospacing="0" w:after="0" w:afterAutospacing="0"/>
              <w:rPr>
                <w:rFonts w:ascii="Arial" w:hAnsi="Arial" w:cs="Arial"/>
                <w:b/>
                <w:bCs/>
              </w:rPr>
            </w:pPr>
            <w:r w:rsidRPr="00707A47">
              <w:rPr>
                <w:rFonts w:ascii="Arial" w:hAnsi="Arial" w:cs="Arial"/>
                <w:b/>
              </w:rPr>
              <w:t>FATHI YUSUF, ISAM YOUSUF</w:t>
            </w:r>
            <w:r w:rsidRPr="00707A47">
              <w:rPr>
                <w:rFonts w:ascii="Arial" w:hAnsi="Arial" w:cs="Arial"/>
                <w:bCs/>
              </w:rPr>
              <w:t xml:space="preserve"> and </w:t>
            </w:r>
            <w:r w:rsidRPr="00707A47">
              <w:rPr>
                <w:rFonts w:ascii="Arial" w:hAnsi="Arial" w:cs="Arial"/>
                <w:b/>
                <w:bCs/>
              </w:rPr>
              <w:t>JAMIL YOUS</w:t>
            </w:r>
            <w:r w:rsidR="00033207" w:rsidRPr="00707A47">
              <w:rPr>
                <w:rFonts w:ascii="Arial" w:hAnsi="Arial" w:cs="Arial"/>
                <w:b/>
                <w:bCs/>
              </w:rPr>
              <w:t>U</w:t>
            </w:r>
            <w:r w:rsidRPr="00707A47">
              <w:rPr>
                <w:rFonts w:ascii="Arial" w:hAnsi="Arial" w:cs="Arial"/>
                <w:b/>
                <w:bCs/>
              </w:rPr>
              <w:t>F</w:t>
            </w:r>
            <w:r w:rsidR="00212EA8" w:rsidRPr="00707A47">
              <w:rPr>
                <w:rFonts w:ascii="Arial" w:hAnsi="Arial" w:cs="Arial"/>
                <w:b/>
                <w:bCs/>
              </w:rPr>
              <w:t>,</w:t>
            </w:r>
          </w:p>
          <w:p w14:paraId="45D1BF41" w14:textId="77777777" w:rsidR="00212EA8" w:rsidRPr="00707A47" w:rsidRDefault="00212EA8" w:rsidP="00826D4C">
            <w:pPr>
              <w:pStyle w:val="yiv784145645msonormal"/>
              <w:spacing w:before="0" w:beforeAutospacing="0" w:after="0" w:afterAutospacing="0"/>
              <w:rPr>
                <w:rFonts w:ascii="Arial" w:hAnsi="Arial" w:cs="Arial"/>
                <w:b/>
              </w:rPr>
            </w:pPr>
          </w:p>
          <w:p w14:paraId="6E37F1DD" w14:textId="77777777" w:rsidR="00165F72" w:rsidRPr="00707A47" w:rsidRDefault="00165F72" w:rsidP="00826D4C">
            <w:pPr>
              <w:rPr>
                <w:rFonts w:cs="Arial"/>
                <w:bCs/>
                <w:i/>
              </w:rPr>
            </w:pPr>
            <w:r w:rsidRPr="00707A47">
              <w:rPr>
                <w:rFonts w:cs="Arial"/>
                <w:b/>
                <w:bCs/>
              </w:rPr>
              <w:tab/>
            </w:r>
            <w:r w:rsidRPr="00707A47">
              <w:rPr>
                <w:rFonts w:cs="Arial"/>
                <w:b/>
                <w:bCs/>
              </w:rPr>
              <w:tab/>
            </w:r>
            <w:r w:rsidRPr="00707A47">
              <w:rPr>
                <w:rFonts w:cs="Arial"/>
                <w:bCs/>
                <w:i/>
              </w:rPr>
              <w:t>Defendants,</w:t>
            </w:r>
          </w:p>
          <w:p w14:paraId="73469EE6" w14:textId="77777777" w:rsidR="00165F72" w:rsidRPr="00707A47" w:rsidRDefault="00165F72" w:rsidP="00826D4C">
            <w:pPr>
              <w:rPr>
                <w:rFonts w:cs="Arial"/>
                <w:b/>
                <w:bCs/>
              </w:rPr>
            </w:pPr>
          </w:p>
          <w:p w14:paraId="774AC1E1" w14:textId="0B2EDB3C" w:rsidR="00165F72" w:rsidRPr="00707A47" w:rsidRDefault="003065FE" w:rsidP="00826D4C">
            <w:pPr>
              <w:rPr>
                <w:rFonts w:cs="Arial"/>
                <w:bCs/>
              </w:rPr>
            </w:pPr>
            <w:r w:rsidRPr="00707A47">
              <w:rPr>
                <w:rFonts w:cs="Arial"/>
                <w:bCs/>
              </w:rPr>
              <w:t xml:space="preserve">     </w:t>
            </w:r>
            <w:r w:rsidR="002938D9" w:rsidRPr="00707A47">
              <w:rPr>
                <w:rFonts w:cs="Arial"/>
                <w:bCs/>
              </w:rPr>
              <w:t xml:space="preserve">      </w:t>
            </w:r>
            <w:r w:rsidR="00165F72" w:rsidRPr="00707A47">
              <w:rPr>
                <w:rFonts w:cs="Arial"/>
                <w:bCs/>
              </w:rPr>
              <w:t>and</w:t>
            </w:r>
          </w:p>
          <w:p w14:paraId="09FCDD56" w14:textId="77777777" w:rsidR="00165F72" w:rsidRPr="00707A47" w:rsidRDefault="00165F72" w:rsidP="00826D4C">
            <w:pPr>
              <w:rPr>
                <w:rFonts w:cs="Arial"/>
                <w:b/>
                <w:bCs/>
              </w:rPr>
            </w:pPr>
          </w:p>
          <w:p w14:paraId="44C3E4D0" w14:textId="77777777" w:rsidR="00165F72" w:rsidRPr="00707A47" w:rsidRDefault="00165F72" w:rsidP="00826D4C">
            <w:pPr>
              <w:rPr>
                <w:rFonts w:cs="Arial"/>
                <w:b/>
                <w:bCs/>
              </w:rPr>
            </w:pPr>
            <w:r w:rsidRPr="00707A47">
              <w:rPr>
                <w:rFonts w:cs="Arial"/>
                <w:b/>
                <w:bCs/>
              </w:rPr>
              <w:t>SIXTEEN PLUS CORPORATION,</w:t>
            </w:r>
          </w:p>
          <w:p w14:paraId="2A2DDEB9" w14:textId="77777777" w:rsidR="00165F72" w:rsidRPr="00707A47" w:rsidRDefault="00165F72" w:rsidP="00826D4C">
            <w:pPr>
              <w:rPr>
                <w:rFonts w:cs="Arial"/>
                <w:b/>
                <w:bCs/>
              </w:rPr>
            </w:pPr>
          </w:p>
          <w:p w14:paraId="3CC62CE8" w14:textId="3EAA8268" w:rsidR="00165F72" w:rsidRPr="00707A47" w:rsidRDefault="003065FE" w:rsidP="00826D4C">
            <w:pPr>
              <w:rPr>
                <w:rFonts w:cs="Arial"/>
                <w:bCs/>
                <w:i/>
              </w:rPr>
            </w:pPr>
            <w:r w:rsidRPr="00707A47">
              <w:rPr>
                <w:rFonts w:cs="Arial"/>
                <w:b/>
                <w:bCs/>
              </w:rPr>
              <w:t xml:space="preserve">           </w:t>
            </w:r>
            <w:r w:rsidR="00E617CA" w:rsidRPr="00707A47">
              <w:rPr>
                <w:rFonts w:cs="Arial"/>
                <w:b/>
                <w:bCs/>
              </w:rPr>
              <w:t xml:space="preserve">           </w:t>
            </w:r>
            <w:r w:rsidR="00165F72" w:rsidRPr="00707A47">
              <w:rPr>
                <w:rFonts w:cs="Arial"/>
                <w:bCs/>
                <w:i/>
              </w:rPr>
              <w:t>a nominal Defendant.</w:t>
            </w:r>
          </w:p>
        </w:tc>
        <w:tc>
          <w:tcPr>
            <w:tcW w:w="4523" w:type="dxa"/>
          </w:tcPr>
          <w:p w14:paraId="356B48D5" w14:textId="0430DD39" w:rsidR="00033207" w:rsidRPr="00707A47" w:rsidRDefault="00165F72" w:rsidP="00826D4C">
            <w:pPr>
              <w:rPr>
                <w:rFonts w:cs="Arial"/>
                <w:b/>
                <w:bCs/>
              </w:rPr>
            </w:pPr>
            <w:r w:rsidRPr="00707A47">
              <w:rPr>
                <w:rFonts w:cs="Arial"/>
                <w:b/>
                <w:bCs/>
              </w:rPr>
              <w:tab/>
              <w:t>Case No.: SX-</w:t>
            </w:r>
            <w:r w:rsidR="009F2AB4" w:rsidRPr="00707A47">
              <w:rPr>
                <w:rFonts w:cs="Arial"/>
                <w:b/>
                <w:bCs/>
              </w:rPr>
              <w:t>2016-</w:t>
            </w:r>
            <w:r w:rsidRPr="00707A47">
              <w:rPr>
                <w:rFonts w:cs="Arial"/>
                <w:b/>
                <w:bCs/>
              </w:rPr>
              <w:t>CV-</w:t>
            </w:r>
            <w:r w:rsidR="009F2AB4" w:rsidRPr="00707A47">
              <w:rPr>
                <w:rFonts w:cs="Arial"/>
                <w:b/>
                <w:bCs/>
              </w:rPr>
              <w:t>00</w:t>
            </w:r>
            <w:r w:rsidRPr="00707A47">
              <w:rPr>
                <w:rFonts w:cs="Arial"/>
                <w:b/>
                <w:bCs/>
              </w:rPr>
              <w:t>650</w:t>
            </w:r>
          </w:p>
          <w:p w14:paraId="68FA3102" w14:textId="062E331B" w:rsidR="00165F72" w:rsidRPr="00707A47" w:rsidRDefault="00165F72" w:rsidP="00826D4C">
            <w:pPr>
              <w:rPr>
                <w:rFonts w:cs="Arial"/>
                <w:b/>
                <w:bCs/>
              </w:rPr>
            </w:pPr>
            <w:r w:rsidRPr="00707A47">
              <w:rPr>
                <w:rFonts w:cs="Arial"/>
                <w:b/>
                <w:bCs/>
              </w:rPr>
              <w:t xml:space="preserve"> </w:t>
            </w:r>
          </w:p>
          <w:p w14:paraId="6136F7FC" w14:textId="77777777" w:rsidR="00165F72" w:rsidRPr="00707A47" w:rsidRDefault="00165F72" w:rsidP="00826D4C">
            <w:pPr>
              <w:rPr>
                <w:rFonts w:cs="Arial"/>
                <w:b/>
                <w:bCs/>
              </w:rPr>
            </w:pPr>
          </w:p>
          <w:p w14:paraId="14D46BB8" w14:textId="6FD5EBCB" w:rsidR="00165F72" w:rsidRPr="00707A47" w:rsidRDefault="00165F72" w:rsidP="00EE6656">
            <w:pPr>
              <w:ind w:left="702" w:hanging="702"/>
              <w:rPr>
                <w:rFonts w:cs="Arial"/>
                <w:b/>
                <w:bCs/>
              </w:rPr>
            </w:pPr>
            <w:r w:rsidRPr="00707A47">
              <w:rPr>
                <w:rFonts w:cs="Arial"/>
                <w:b/>
                <w:bCs/>
              </w:rPr>
              <w:tab/>
              <w:t>DERIVATIVE SHAREHOLDER SUIT, ACTION FOR DAMAGES AND CICO RELIEF</w:t>
            </w:r>
          </w:p>
          <w:p w14:paraId="7CC3B178" w14:textId="77777777" w:rsidR="00033207" w:rsidRPr="00707A47" w:rsidRDefault="00033207" w:rsidP="00826D4C">
            <w:pPr>
              <w:ind w:hanging="702"/>
              <w:rPr>
                <w:rFonts w:cs="Arial"/>
                <w:b/>
                <w:bCs/>
              </w:rPr>
            </w:pPr>
          </w:p>
          <w:p w14:paraId="34353E46" w14:textId="77777777" w:rsidR="00165F72" w:rsidRPr="00707A47" w:rsidRDefault="00165F72" w:rsidP="00826D4C">
            <w:pPr>
              <w:rPr>
                <w:rFonts w:cs="Arial"/>
                <w:b/>
                <w:bCs/>
              </w:rPr>
            </w:pPr>
          </w:p>
          <w:p w14:paraId="79A2C164" w14:textId="77777777" w:rsidR="00165F72" w:rsidRPr="00707A47" w:rsidRDefault="00165F72" w:rsidP="00826D4C">
            <w:pPr>
              <w:rPr>
                <w:rFonts w:cs="Arial"/>
                <w:b/>
                <w:bCs/>
                <w:u w:val="single"/>
              </w:rPr>
            </w:pPr>
            <w:r w:rsidRPr="00707A47">
              <w:rPr>
                <w:rFonts w:cs="Arial"/>
                <w:b/>
                <w:bCs/>
              </w:rPr>
              <w:tab/>
            </w:r>
            <w:r w:rsidRPr="00707A47">
              <w:rPr>
                <w:rFonts w:cs="Arial"/>
                <w:b/>
                <w:bCs/>
                <w:u w:val="single"/>
              </w:rPr>
              <w:t>JURY TRIAL DEMANDED</w:t>
            </w:r>
          </w:p>
        </w:tc>
      </w:tr>
      <w:tr w:rsidR="00165F72" w:rsidRPr="00707A47" w14:paraId="7348756A" w14:textId="77777777" w:rsidTr="002949ED">
        <w:tc>
          <w:tcPr>
            <w:tcW w:w="4497" w:type="dxa"/>
            <w:tcBorders>
              <w:bottom w:val="single" w:sz="4" w:space="0" w:color="auto"/>
              <w:right w:val="single" w:sz="4" w:space="0" w:color="auto"/>
            </w:tcBorders>
          </w:tcPr>
          <w:p w14:paraId="453959DF" w14:textId="77777777" w:rsidR="00165F72" w:rsidRPr="00707A47" w:rsidRDefault="00165F72" w:rsidP="00826D4C">
            <w:pPr>
              <w:rPr>
                <w:rFonts w:cs="Arial"/>
                <w:b/>
              </w:rPr>
            </w:pPr>
          </w:p>
        </w:tc>
        <w:tc>
          <w:tcPr>
            <w:tcW w:w="4523" w:type="dxa"/>
          </w:tcPr>
          <w:p w14:paraId="4439AA56" w14:textId="77777777" w:rsidR="00165F72" w:rsidRPr="00707A47" w:rsidRDefault="00165F72" w:rsidP="00826D4C">
            <w:pPr>
              <w:rPr>
                <w:rFonts w:cs="Arial"/>
                <w:b/>
                <w:bCs/>
              </w:rPr>
            </w:pPr>
          </w:p>
        </w:tc>
      </w:tr>
    </w:tbl>
    <w:p w14:paraId="65504E0D" w14:textId="6037179C" w:rsidR="00B82318" w:rsidRPr="00707A47" w:rsidRDefault="00000000" w:rsidP="00826D4C">
      <w:pPr>
        <w:rPr>
          <w:rFonts w:cs="Arial"/>
        </w:rPr>
      </w:pPr>
    </w:p>
    <w:p w14:paraId="1A225B42" w14:textId="3313C2DA" w:rsidR="00C45455" w:rsidRPr="00707A47" w:rsidRDefault="005F69BB" w:rsidP="00826D4C">
      <w:pPr>
        <w:adjustRightInd w:val="0"/>
        <w:contextualSpacing/>
        <w:jc w:val="center"/>
        <w:rPr>
          <w:rFonts w:cs="Arial"/>
          <w:b/>
          <w:bCs/>
        </w:rPr>
      </w:pPr>
      <w:bookmarkStart w:id="0" w:name="_Hlk121329315"/>
      <w:r w:rsidRPr="00707A47">
        <w:rPr>
          <w:rFonts w:cs="Arial"/>
          <w:b/>
          <w:bCs/>
        </w:rPr>
        <w:t>HISHAM HAMED’S REPLY</w:t>
      </w:r>
    </w:p>
    <w:p w14:paraId="14463953" w14:textId="546AA3FF" w:rsidR="005F69BB" w:rsidRPr="00707A47" w:rsidRDefault="005F69BB" w:rsidP="00826D4C">
      <w:pPr>
        <w:adjustRightInd w:val="0"/>
        <w:contextualSpacing/>
        <w:jc w:val="center"/>
        <w:rPr>
          <w:rFonts w:cs="Arial"/>
          <w:b/>
          <w:bCs/>
        </w:rPr>
      </w:pPr>
      <w:r w:rsidRPr="00707A47">
        <w:rPr>
          <w:rFonts w:cs="Arial"/>
          <w:b/>
          <w:bCs/>
        </w:rPr>
        <w:t xml:space="preserve">TO </w:t>
      </w:r>
      <w:r w:rsidR="003B12E6" w:rsidRPr="00707A47">
        <w:rPr>
          <w:rFonts w:cs="Arial"/>
          <w:b/>
          <w:bCs/>
        </w:rPr>
        <w:t>FATHI YUSUF’S</w:t>
      </w:r>
      <w:r w:rsidRPr="00707A47">
        <w:rPr>
          <w:rFonts w:cs="Arial"/>
          <w:b/>
          <w:bCs/>
        </w:rPr>
        <w:t xml:space="preserve"> OPPOSITION</w:t>
      </w:r>
    </w:p>
    <w:p w14:paraId="5B1668B0" w14:textId="77777777" w:rsidR="003B12E6" w:rsidRPr="00707A47" w:rsidRDefault="005F69BB" w:rsidP="00826D4C">
      <w:pPr>
        <w:adjustRightInd w:val="0"/>
        <w:contextualSpacing/>
        <w:jc w:val="center"/>
        <w:rPr>
          <w:rFonts w:cs="Arial"/>
          <w:b/>
          <w:bCs/>
        </w:rPr>
      </w:pPr>
      <w:r w:rsidRPr="00707A47">
        <w:rPr>
          <w:rFonts w:cs="Arial"/>
          <w:b/>
          <w:bCs/>
        </w:rPr>
        <w:t xml:space="preserve">TO </w:t>
      </w:r>
      <w:r w:rsidR="000A2139" w:rsidRPr="00707A47">
        <w:rPr>
          <w:rFonts w:cs="Arial"/>
          <w:b/>
          <w:bCs/>
        </w:rPr>
        <w:t>HAMED’S</w:t>
      </w:r>
      <w:r w:rsidRPr="00707A47">
        <w:rPr>
          <w:rFonts w:cs="Arial"/>
          <w:b/>
          <w:bCs/>
        </w:rPr>
        <w:t xml:space="preserve"> </w:t>
      </w:r>
      <w:r w:rsidR="003B12E6" w:rsidRPr="00707A47">
        <w:rPr>
          <w:rFonts w:cs="Arial"/>
          <w:b/>
          <w:bCs/>
        </w:rPr>
        <w:t xml:space="preserve">MOTION TO AMEND HIS FIRST AMENDED COMPLAINT </w:t>
      </w:r>
    </w:p>
    <w:p w14:paraId="418C6EA2" w14:textId="1C177901" w:rsidR="00E001DA" w:rsidRPr="00707A47" w:rsidRDefault="00905663" w:rsidP="00826D4C">
      <w:pPr>
        <w:adjustRightInd w:val="0"/>
        <w:contextualSpacing/>
        <w:jc w:val="center"/>
        <w:rPr>
          <w:rFonts w:cs="Arial"/>
          <w:b/>
          <w:bCs/>
        </w:rPr>
      </w:pPr>
      <w:r w:rsidRPr="00707A47">
        <w:rPr>
          <w:rFonts w:cs="Arial"/>
          <w:b/>
          <w:bCs/>
        </w:rPr>
        <w:t>(</w:t>
      </w:r>
      <w:r w:rsidR="003B12E6" w:rsidRPr="00707A47">
        <w:rPr>
          <w:rFonts w:cs="Arial"/>
          <w:b/>
          <w:bCs/>
        </w:rPr>
        <w:t>TO JOIN MANAL YOUSEF AS A DEFENDANT</w:t>
      </w:r>
      <w:r w:rsidRPr="00707A47">
        <w:rPr>
          <w:rFonts w:cs="Arial"/>
          <w:b/>
          <w:bCs/>
        </w:rPr>
        <w:t>)</w:t>
      </w:r>
    </w:p>
    <w:p w14:paraId="307C0DD7" w14:textId="77777777" w:rsidR="003B12E6" w:rsidRPr="00707A47" w:rsidRDefault="003B12E6" w:rsidP="00826D4C">
      <w:pPr>
        <w:adjustRightInd w:val="0"/>
        <w:contextualSpacing/>
        <w:jc w:val="center"/>
        <w:rPr>
          <w:rFonts w:cs="Arial"/>
          <w:b/>
          <w:bCs/>
        </w:rPr>
      </w:pPr>
    </w:p>
    <w:bookmarkEnd w:id="0"/>
    <w:p w14:paraId="6CEF5A42" w14:textId="02BA7A70" w:rsidR="00B82634" w:rsidRDefault="00FD72E4" w:rsidP="00826D4C">
      <w:pPr>
        <w:spacing w:line="480" w:lineRule="auto"/>
        <w:jc w:val="both"/>
        <w:outlineLvl w:val="0"/>
        <w:rPr>
          <w:rFonts w:cs="Arial"/>
          <w:color w:val="000000"/>
        </w:rPr>
      </w:pPr>
      <w:r w:rsidRPr="00707A47">
        <w:rPr>
          <w:rFonts w:cs="Arial"/>
          <w:color w:val="000000"/>
        </w:rPr>
        <w:tab/>
        <w:t xml:space="preserve">On December 18, 2022, Hisham Hamed (“Hamed”) filed </w:t>
      </w:r>
      <w:r w:rsidR="0096577B">
        <w:rPr>
          <w:rFonts w:cs="Arial"/>
          <w:color w:val="000000"/>
        </w:rPr>
        <w:t>a</w:t>
      </w:r>
      <w:r w:rsidRPr="00707A47">
        <w:rPr>
          <w:rFonts w:cs="Arial"/>
          <w:color w:val="000000"/>
        </w:rPr>
        <w:t xml:space="preserve"> </w:t>
      </w:r>
      <w:r w:rsidRPr="00707A47">
        <w:rPr>
          <w:rFonts w:cs="Arial"/>
          <w:i/>
          <w:iCs/>
          <w:color w:val="000000"/>
        </w:rPr>
        <w:t>Motion to Amend his First Amended Complaint</w:t>
      </w:r>
      <w:r w:rsidRPr="00707A47">
        <w:rPr>
          <w:rFonts w:cs="Arial"/>
          <w:color w:val="000000"/>
        </w:rPr>
        <w:t xml:space="preserve"> (“FAC”) seeking to join Manal Yousef </w:t>
      </w:r>
      <w:r w:rsidR="00286F18" w:rsidRPr="00707A47">
        <w:rPr>
          <w:rFonts w:cs="Arial"/>
          <w:color w:val="000000"/>
        </w:rPr>
        <w:t xml:space="preserve">(“Manal”) </w:t>
      </w:r>
      <w:r w:rsidRPr="00707A47">
        <w:rPr>
          <w:rFonts w:cs="Arial"/>
          <w:color w:val="000000"/>
        </w:rPr>
        <w:t xml:space="preserve">as a defendant. </w:t>
      </w:r>
      <w:r w:rsidR="006474F7">
        <w:rPr>
          <w:rFonts w:cs="Arial"/>
          <w:color w:val="000000"/>
        </w:rPr>
        <w:t>Following</w:t>
      </w:r>
      <w:r w:rsidR="007E07FF" w:rsidRPr="00707A47">
        <w:rPr>
          <w:rFonts w:cs="Arial"/>
          <w:color w:val="000000"/>
        </w:rPr>
        <w:t xml:space="preserve"> a mutually agreed extension, o</w:t>
      </w:r>
      <w:r w:rsidRPr="00707A47">
        <w:rPr>
          <w:rFonts w:cs="Arial"/>
          <w:color w:val="000000"/>
        </w:rPr>
        <w:t xml:space="preserve">n January </w:t>
      </w:r>
      <w:r w:rsidR="00286F18" w:rsidRPr="00707A47">
        <w:rPr>
          <w:rFonts w:cs="Arial"/>
          <w:color w:val="000000"/>
        </w:rPr>
        <w:t>23</w:t>
      </w:r>
      <w:r w:rsidRPr="00707A47">
        <w:rPr>
          <w:rFonts w:cs="Arial"/>
          <w:color w:val="000000"/>
        </w:rPr>
        <w:t xml:space="preserve">, 2023, Fathi Yusuf </w:t>
      </w:r>
      <w:r w:rsidR="00286F18" w:rsidRPr="00707A47">
        <w:rPr>
          <w:rFonts w:cs="Arial"/>
          <w:color w:val="000000"/>
        </w:rPr>
        <w:t>(“</w:t>
      </w:r>
      <w:r w:rsidR="00282A95">
        <w:rPr>
          <w:rFonts w:cs="Arial"/>
          <w:color w:val="000000"/>
        </w:rPr>
        <w:t>Fathi</w:t>
      </w:r>
      <w:r w:rsidR="00286F18" w:rsidRPr="00707A47">
        <w:rPr>
          <w:rFonts w:cs="Arial"/>
          <w:color w:val="000000"/>
        </w:rPr>
        <w:t xml:space="preserve">”) </w:t>
      </w:r>
      <w:r w:rsidRPr="00707A47">
        <w:rPr>
          <w:rFonts w:cs="Arial"/>
          <w:color w:val="000000"/>
        </w:rPr>
        <w:t xml:space="preserve">filed his timely </w:t>
      </w:r>
      <w:r w:rsidR="007E07FF" w:rsidRPr="00707A47">
        <w:rPr>
          <w:rFonts w:cs="Arial"/>
          <w:color w:val="000000"/>
        </w:rPr>
        <w:t>o</w:t>
      </w:r>
      <w:r w:rsidRPr="00707A47">
        <w:rPr>
          <w:rFonts w:cs="Arial"/>
          <w:color w:val="000000"/>
        </w:rPr>
        <w:t>pposition</w:t>
      </w:r>
      <w:r w:rsidRPr="00707A47">
        <w:rPr>
          <w:rFonts w:cs="Arial"/>
          <w:i/>
          <w:iCs/>
          <w:color w:val="000000"/>
        </w:rPr>
        <w:t xml:space="preserve">. </w:t>
      </w:r>
      <w:r w:rsidRPr="00707A47">
        <w:rPr>
          <w:rFonts w:cs="Arial"/>
          <w:color w:val="000000"/>
        </w:rPr>
        <w:t>Undersigned counsel submits the following in reply.</w:t>
      </w:r>
    </w:p>
    <w:p w14:paraId="7077DA59" w14:textId="7271EBDA" w:rsidR="00FE53A8" w:rsidRPr="00707A47" w:rsidRDefault="00FE53A8" w:rsidP="00826D4C">
      <w:pPr>
        <w:spacing w:line="480" w:lineRule="auto"/>
        <w:jc w:val="both"/>
        <w:outlineLvl w:val="0"/>
        <w:rPr>
          <w:rFonts w:cs="Arial"/>
          <w:color w:val="000000"/>
        </w:rPr>
      </w:pPr>
      <w:r>
        <w:rPr>
          <w:rFonts w:cs="Arial"/>
          <w:color w:val="000000"/>
        </w:rPr>
        <w:tab/>
        <w:t xml:space="preserve">Hamed notes that he is simultaneously </w:t>
      </w:r>
      <w:r w:rsidR="00282A95">
        <w:rPr>
          <w:rFonts w:cs="Arial"/>
          <w:color w:val="000000"/>
        </w:rPr>
        <w:t>submitting</w:t>
      </w:r>
      <w:r>
        <w:rPr>
          <w:rFonts w:cs="Arial"/>
          <w:color w:val="000000"/>
        </w:rPr>
        <w:t xml:space="preserve"> his motion </w:t>
      </w:r>
      <w:r w:rsidR="00DD3E4D">
        <w:rPr>
          <w:rFonts w:cs="Arial"/>
          <w:color w:val="000000"/>
        </w:rPr>
        <w:t xml:space="preserve">for leave to file </w:t>
      </w:r>
      <w:r>
        <w:rPr>
          <w:rFonts w:cs="Arial"/>
          <w:color w:val="000000"/>
        </w:rPr>
        <w:t xml:space="preserve">a supplemental complaint—although that Second Amended and Supplemental Complaint (“SASC”) is </w:t>
      </w:r>
      <w:r w:rsidRPr="003833E1">
        <w:rPr>
          <w:rFonts w:cs="Arial"/>
          <w:i/>
          <w:iCs/>
          <w:color w:val="000000"/>
          <w:u w:val="single"/>
        </w:rPr>
        <w:t>identical</w:t>
      </w:r>
      <w:r>
        <w:rPr>
          <w:rFonts w:cs="Arial"/>
          <w:color w:val="000000"/>
        </w:rPr>
        <w:t xml:space="preserve"> to the Second Amended Complaint (“SAC”) already submitted with this motion.</w:t>
      </w:r>
    </w:p>
    <w:p w14:paraId="4758D5B5" w14:textId="69A8AB5A" w:rsidR="00C45455" w:rsidRPr="00707A47" w:rsidRDefault="00C45455" w:rsidP="00826D4C">
      <w:pPr>
        <w:pStyle w:val="ListParagraph"/>
        <w:numPr>
          <w:ilvl w:val="0"/>
          <w:numId w:val="34"/>
        </w:numPr>
        <w:spacing w:after="0" w:line="480" w:lineRule="auto"/>
        <w:ind w:left="0"/>
        <w:jc w:val="both"/>
        <w:outlineLvl w:val="0"/>
        <w:rPr>
          <w:rFonts w:ascii="Arial" w:hAnsi="Arial" w:cs="Arial"/>
          <w:b/>
          <w:bCs/>
          <w:color w:val="000000"/>
          <w:sz w:val="24"/>
          <w:szCs w:val="24"/>
        </w:rPr>
      </w:pPr>
      <w:r w:rsidRPr="00707A47">
        <w:rPr>
          <w:rFonts w:ascii="Arial" w:hAnsi="Arial" w:cs="Arial"/>
          <w:b/>
          <w:bCs/>
          <w:color w:val="000000"/>
          <w:sz w:val="24"/>
          <w:szCs w:val="24"/>
        </w:rPr>
        <w:t>Facts and Law Not Disputed in the Opposition</w:t>
      </w:r>
    </w:p>
    <w:p w14:paraId="30538122" w14:textId="22D99817" w:rsidR="00C45455" w:rsidRPr="00707A47" w:rsidRDefault="00C45455" w:rsidP="00826D4C">
      <w:pPr>
        <w:spacing w:line="480" w:lineRule="auto"/>
        <w:ind w:firstLine="360"/>
        <w:jc w:val="both"/>
        <w:outlineLvl w:val="0"/>
        <w:rPr>
          <w:rFonts w:cs="Arial"/>
          <w:color w:val="000000"/>
        </w:rPr>
      </w:pPr>
      <w:r w:rsidRPr="00707A47">
        <w:rPr>
          <w:rFonts w:cs="Arial"/>
          <w:color w:val="000000"/>
        </w:rPr>
        <w:t xml:space="preserve">Fathi does not dispute the following </w:t>
      </w:r>
      <w:r w:rsidR="000B1046" w:rsidRPr="00707A47">
        <w:rPr>
          <w:rFonts w:cs="Arial"/>
          <w:color w:val="000000"/>
        </w:rPr>
        <w:t>facts and law in</w:t>
      </w:r>
      <w:r w:rsidRPr="00707A47">
        <w:rPr>
          <w:rFonts w:cs="Arial"/>
          <w:color w:val="000000"/>
        </w:rPr>
        <w:t xml:space="preserve"> Hamed’s </w:t>
      </w:r>
      <w:r w:rsidR="0096577B">
        <w:rPr>
          <w:rFonts w:cs="Arial"/>
          <w:color w:val="000000"/>
        </w:rPr>
        <w:t>m</w:t>
      </w:r>
      <w:r w:rsidRPr="00707A47">
        <w:rPr>
          <w:rFonts w:cs="Arial"/>
          <w:color w:val="000000"/>
        </w:rPr>
        <w:t>otion:</w:t>
      </w:r>
    </w:p>
    <w:p w14:paraId="6CE9816D" w14:textId="5BC192B1" w:rsidR="00286F18" w:rsidRPr="00707A47" w:rsidRDefault="0096577B" w:rsidP="007E07FF">
      <w:pPr>
        <w:ind w:left="360" w:firstLine="360"/>
        <w:jc w:val="both"/>
        <w:outlineLvl w:val="0"/>
        <w:rPr>
          <w:rFonts w:cs="Arial"/>
        </w:rPr>
      </w:pPr>
      <w:r>
        <w:rPr>
          <w:rFonts w:cs="Arial"/>
          <w:color w:val="000000"/>
        </w:rPr>
        <w:t>—</w:t>
      </w:r>
      <w:r w:rsidR="00C45455" w:rsidRPr="00EE6656">
        <w:rPr>
          <w:rFonts w:cs="Arial"/>
          <w:i/>
          <w:iCs/>
          <w:color w:val="000000"/>
        </w:rPr>
        <w:t xml:space="preserve">This motion is controlled by </w:t>
      </w:r>
      <w:r w:rsidR="00C45455" w:rsidRPr="00EE6656">
        <w:rPr>
          <w:rFonts w:cs="Arial"/>
          <w:i/>
          <w:iCs/>
        </w:rPr>
        <w:t>V.I. R. CIV. P. 15(a)(2)</w:t>
      </w:r>
      <w:r w:rsidR="00286F18" w:rsidRPr="00EE6656">
        <w:rPr>
          <w:rFonts w:cs="Arial"/>
          <w:i/>
          <w:iCs/>
        </w:rPr>
        <w:t>.</w:t>
      </w:r>
      <w:r w:rsidR="00286F18" w:rsidRPr="00707A47">
        <w:rPr>
          <w:rFonts w:cs="Arial"/>
        </w:rPr>
        <w:t xml:space="preserve"> </w:t>
      </w:r>
      <w:r w:rsidR="00282A95">
        <w:rPr>
          <w:rFonts w:cs="Arial"/>
        </w:rPr>
        <w:t>Fathi</w:t>
      </w:r>
      <w:r w:rsidR="00286F18" w:rsidRPr="00707A47">
        <w:rPr>
          <w:rFonts w:cs="Arial"/>
        </w:rPr>
        <w:t xml:space="preserve"> </w:t>
      </w:r>
      <w:r w:rsidR="00FE53A8">
        <w:rPr>
          <w:rFonts w:cs="Arial"/>
        </w:rPr>
        <w:t xml:space="preserve">does not discuss the applicable standards—he </w:t>
      </w:r>
      <w:r w:rsidR="00286F18" w:rsidRPr="00707A47">
        <w:rPr>
          <w:rFonts w:cs="Arial"/>
        </w:rPr>
        <w:t xml:space="preserve">cites no caselaw regarding amendment, </w:t>
      </w:r>
      <w:r w:rsidR="00FE53A8">
        <w:rPr>
          <w:rFonts w:cs="Arial"/>
        </w:rPr>
        <w:t>nor does he</w:t>
      </w:r>
      <w:r w:rsidR="00286F18" w:rsidRPr="00707A47">
        <w:rPr>
          <w:rFonts w:cs="Arial"/>
        </w:rPr>
        <w:t xml:space="preserve"> </w:t>
      </w:r>
      <w:r w:rsidR="00FE53A8">
        <w:rPr>
          <w:rFonts w:cs="Arial"/>
        </w:rPr>
        <w:t>discuss</w:t>
      </w:r>
      <w:r w:rsidR="00286F18" w:rsidRPr="00707A47">
        <w:rPr>
          <w:rFonts w:cs="Arial"/>
        </w:rPr>
        <w:t xml:space="preserve"> Rule 15(a).</w:t>
      </w:r>
    </w:p>
    <w:p w14:paraId="622151C8" w14:textId="77777777" w:rsidR="007E07FF" w:rsidRPr="00707A47" w:rsidRDefault="007E07FF" w:rsidP="007E07FF">
      <w:pPr>
        <w:ind w:left="360" w:firstLine="360"/>
        <w:jc w:val="both"/>
        <w:outlineLvl w:val="0"/>
        <w:rPr>
          <w:rFonts w:cs="Arial"/>
        </w:rPr>
      </w:pPr>
    </w:p>
    <w:p w14:paraId="151B6475" w14:textId="002D497D" w:rsidR="00C45455" w:rsidRPr="00707A47" w:rsidRDefault="0096577B" w:rsidP="007E07FF">
      <w:pPr>
        <w:ind w:left="360" w:firstLine="360"/>
        <w:jc w:val="both"/>
        <w:outlineLvl w:val="0"/>
        <w:rPr>
          <w:rFonts w:cs="Arial"/>
        </w:rPr>
      </w:pPr>
      <w:r>
        <w:rPr>
          <w:rFonts w:cs="Arial"/>
        </w:rPr>
        <w:t>—</w:t>
      </w:r>
      <w:r w:rsidR="00C45455" w:rsidRPr="00EE6656">
        <w:rPr>
          <w:rFonts w:cs="Arial"/>
          <w:i/>
          <w:iCs/>
        </w:rPr>
        <w:t>Rule 15(</w:t>
      </w:r>
      <w:r w:rsidR="00DD3E4D">
        <w:rPr>
          <w:rFonts w:cs="Arial"/>
          <w:i/>
          <w:iCs/>
        </w:rPr>
        <w:t>a)(2)</w:t>
      </w:r>
      <w:r w:rsidR="00C45455" w:rsidRPr="00EE6656">
        <w:rPr>
          <w:rFonts w:cs="Arial"/>
          <w:i/>
          <w:iCs/>
        </w:rPr>
        <w:t xml:space="preserve"> provides: “The court should freely give leave when justice so requires.”</w:t>
      </w:r>
      <w:r w:rsidR="00286F18" w:rsidRPr="00707A47">
        <w:rPr>
          <w:rFonts w:cs="Arial"/>
        </w:rPr>
        <w:t xml:space="preserve"> </w:t>
      </w:r>
      <w:r w:rsidR="00282A95">
        <w:rPr>
          <w:rFonts w:cs="Arial"/>
        </w:rPr>
        <w:t xml:space="preserve">Fathi does not </w:t>
      </w:r>
      <w:r w:rsidR="003833E1">
        <w:rPr>
          <w:rFonts w:cs="Arial"/>
        </w:rPr>
        <w:t>respond to</w:t>
      </w:r>
      <w:r w:rsidR="00282A95">
        <w:rPr>
          <w:rFonts w:cs="Arial"/>
        </w:rPr>
        <w:t xml:space="preserve"> this. </w:t>
      </w:r>
      <w:r w:rsidR="00286F18" w:rsidRPr="00707A47">
        <w:rPr>
          <w:rFonts w:cs="Arial"/>
        </w:rPr>
        <w:t xml:space="preserve">To the contrary, as discussed below, </w:t>
      </w:r>
      <w:r w:rsidR="00282A95">
        <w:rPr>
          <w:rFonts w:cs="Arial"/>
        </w:rPr>
        <w:t xml:space="preserve">he </w:t>
      </w:r>
      <w:r w:rsidR="00286F18" w:rsidRPr="00707A47">
        <w:rPr>
          <w:rFonts w:cs="Arial"/>
        </w:rPr>
        <w:t xml:space="preserve">attempts to </w:t>
      </w:r>
      <w:r w:rsidR="00286F18" w:rsidRPr="00FE53A8">
        <w:rPr>
          <w:rFonts w:cs="Arial"/>
          <w:i/>
          <w:iCs/>
          <w:u w:val="single"/>
        </w:rPr>
        <w:t>suggest</w:t>
      </w:r>
      <w:r w:rsidR="00FE53A8" w:rsidRPr="00FE53A8">
        <w:rPr>
          <w:rFonts w:cs="Arial"/>
        </w:rPr>
        <w:t>,</w:t>
      </w:r>
      <w:r w:rsidR="00286F18" w:rsidRPr="00707A47">
        <w:rPr>
          <w:rFonts w:cs="Arial"/>
        </w:rPr>
        <w:t xml:space="preserve"> </w:t>
      </w:r>
      <w:r w:rsidR="00FE53A8">
        <w:rPr>
          <w:rFonts w:cs="Arial"/>
        </w:rPr>
        <w:t xml:space="preserve">without any citations, </w:t>
      </w:r>
      <w:r w:rsidR="00286F18" w:rsidRPr="00707A47">
        <w:rPr>
          <w:rFonts w:cs="Arial"/>
        </w:rPr>
        <w:t>that the standard is far more onerous than it is.</w:t>
      </w:r>
    </w:p>
    <w:p w14:paraId="6CBDCF8B" w14:textId="77777777" w:rsidR="007E07FF" w:rsidRPr="00707A47" w:rsidRDefault="007E07FF" w:rsidP="007E07FF">
      <w:pPr>
        <w:ind w:left="360" w:firstLine="360"/>
        <w:jc w:val="both"/>
        <w:outlineLvl w:val="0"/>
        <w:rPr>
          <w:rFonts w:cs="Arial"/>
        </w:rPr>
      </w:pPr>
    </w:p>
    <w:p w14:paraId="03BA4039" w14:textId="0ED00D21" w:rsidR="00C45455" w:rsidRPr="00707A47" w:rsidRDefault="0096577B" w:rsidP="007E07FF">
      <w:pPr>
        <w:ind w:left="360" w:firstLine="360"/>
        <w:jc w:val="both"/>
        <w:outlineLvl w:val="0"/>
        <w:rPr>
          <w:rFonts w:cs="Arial"/>
        </w:rPr>
      </w:pPr>
      <w:r>
        <w:rPr>
          <w:rFonts w:cs="Arial"/>
        </w:rPr>
        <w:t>—</w:t>
      </w:r>
      <w:r w:rsidR="00C45455" w:rsidRPr="00EE6656">
        <w:rPr>
          <w:rFonts w:cs="Arial"/>
          <w:i/>
          <w:iCs/>
        </w:rPr>
        <w:t>The V.I. Supreme Court’s decision in Davis v. UHP Projects, Inc.,</w:t>
      </w:r>
      <w:r w:rsidR="00C45455" w:rsidRPr="00EE6656">
        <w:rPr>
          <w:rStyle w:val="FootnoteReference"/>
          <w:rFonts w:cs="Arial"/>
          <w:i/>
          <w:iCs/>
        </w:rPr>
        <w:footnoteReference w:id="1"/>
      </w:r>
      <w:r w:rsidR="00C45455" w:rsidRPr="00EE6656">
        <w:rPr>
          <w:rFonts w:cs="Arial"/>
          <w:i/>
          <w:iCs/>
        </w:rPr>
        <w:t xml:space="preserve"> controls here</w:t>
      </w:r>
      <w:r w:rsidR="00C45455" w:rsidRPr="00707A47">
        <w:rPr>
          <w:rFonts w:cs="Arial"/>
        </w:rPr>
        <w:t>.</w:t>
      </w:r>
      <w:r w:rsidR="00286F18" w:rsidRPr="00707A47">
        <w:rPr>
          <w:rFonts w:cs="Arial"/>
        </w:rPr>
        <w:t xml:space="preserve"> Hamed asks that his </w:t>
      </w:r>
      <w:r w:rsidR="006474F7">
        <w:rPr>
          <w:rFonts w:cs="Arial"/>
        </w:rPr>
        <w:t xml:space="preserve">virtually verbatim </w:t>
      </w:r>
      <w:r w:rsidR="00286F18" w:rsidRPr="00707A47">
        <w:rPr>
          <w:rFonts w:cs="Arial"/>
        </w:rPr>
        <w:t xml:space="preserve">discussion of </w:t>
      </w:r>
      <w:r w:rsidR="00286F18" w:rsidRPr="00707A47">
        <w:rPr>
          <w:rFonts w:cs="Arial"/>
          <w:i/>
          <w:iCs/>
        </w:rPr>
        <w:t>Davis</w:t>
      </w:r>
      <w:r w:rsidR="00286F18" w:rsidRPr="00707A47">
        <w:rPr>
          <w:rFonts w:cs="Arial"/>
        </w:rPr>
        <w:t>, as it wa</w:t>
      </w:r>
      <w:r w:rsidR="006474F7">
        <w:rPr>
          <w:rFonts w:cs="Arial"/>
        </w:rPr>
        <w:t>s</w:t>
      </w:r>
      <w:r w:rsidR="00286F18" w:rsidRPr="00707A47">
        <w:rPr>
          <w:rFonts w:cs="Arial"/>
        </w:rPr>
        <w:t xml:space="preserve"> not even addressed by </w:t>
      </w:r>
      <w:r w:rsidR="00282A95">
        <w:rPr>
          <w:rFonts w:cs="Arial"/>
        </w:rPr>
        <w:t>Fathi</w:t>
      </w:r>
      <w:r w:rsidR="00286F18" w:rsidRPr="00707A47">
        <w:rPr>
          <w:rFonts w:cs="Arial"/>
        </w:rPr>
        <w:t>, be deemed conceded.</w:t>
      </w:r>
    </w:p>
    <w:p w14:paraId="6C43581F" w14:textId="77777777" w:rsidR="007E07FF" w:rsidRPr="00707A47" w:rsidRDefault="007E07FF" w:rsidP="007E07FF">
      <w:pPr>
        <w:ind w:left="360" w:firstLine="360"/>
        <w:jc w:val="both"/>
        <w:outlineLvl w:val="0"/>
        <w:rPr>
          <w:rFonts w:cs="Arial"/>
        </w:rPr>
      </w:pPr>
    </w:p>
    <w:p w14:paraId="6786E7CB" w14:textId="26A5D5AF" w:rsidR="000B1046" w:rsidRPr="00707A47" w:rsidRDefault="0096577B" w:rsidP="007E07FF">
      <w:pPr>
        <w:ind w:left="360" w:firstLine="360"/>
        <w:jc w:val="both"/>
        <w:outlineLvl w:val="0"/>
        <w:rPr>
          <w:rFonts w:cs="Arial"/>
        </w:rPr>
      </w:pPr>
      <w:r>
        <w:rPr>
          <w:rFonts w:cs="Arial"/>
        </w:rPr>
        <w:t>—</w:t>
      </w:r>
      <w:r w:rsidR="000B1046" w:rsidRPr="00EE6656">
        <w:rPr>
          <w:rFonts w:cs="Arial"/>
          <w:i/>
          <w:iCs/>
        </w:rPr>
        <w:t xml:space="preserve">Fathi </w:t>
      </w:r>
      <w:r w:rsidR="00DD3E4D">
        <w:rPr>
          <w:rFonts w:cs="Arial"/>
          <w:i/>
          <w:iCs/>
        </w:rPr>
        <w:t xml:space="preserve">Yusuf (“Fathi”), </w:t>
      </w:r>
      <w:r w:rsidR="000B1046" w:rsidRPr="00EE6656">
        <w:rPr>
          <w:rFonts w:cs="Arial"/>
          <w:i/>
          <w:iCs/>
        </w:rPr>
        <w:t xml:space="preserve">Isam Yousuf (“Isam”) and Jamil Yousuf (“Jamil”) have </w:t>
      </w:r>
      <w:r w:rsidR="00DD3E4D">
        <w:rPr>
          <w:rFonts w:cs="Arial"/>
          <w:i/>
          <w:iCs/>
        </w:rPr>
        <w:t xml:space="preserve">not yet </w:t>
      </w:r>
      <w:r w:rsidR="000B1046" w:rsidRPr="00EE6656">
        <w:rPr>
          <w:rFonts w:cs="Arial"/>
          <w:i/>
          <w:iCs/>
        </w:rPr>
        <w:t>answered</w:t>
      </w:r>
      <w:r w:rsidR="00DD3E4D">
        <w:rPr>
          <w:rFonts w:cs="Arial"/>
          <w:i/>
          <w:iCs/>
        </w:rPr>
        <w:t xml:space="preserve"> the FAC</w:t>
      </w:r>
      <w:r w:rsidR="000B1046" w:rsidRPr="00EE6656">
        <w:rPr>
          <w:rFonts w:cs="Arial"/>
          <w:i/>
          <w:iCs/>
        </w:rPr>
        <w:t>.</w:t>
      </w:r>
      <w:r w:rsidR="006D7116" w:rsidRPr="00707A47">
        <w:rPr>
          <w:rFonts w:cs="Arial"/>
        </w:rPr>
        <w:t xml:space="preserve"> The fact that no answer</w:t>
      </w:r>
      <w:r>
        <w:rPr>
          <w:rFonts w:cs="Arial"/>
        </w:rPr>
        <w:t>s have been filed</w:t>
      </w:r>
      <w:r w:rsidR="006D7116" w:rsidRPr="00707A47">
        <w:rPr>
          <w:rFonts w:cs="Arial"/>
        </w:rPr>
        <w:t xml:space="preserve"> is </w:t>
      </w:r>
      <w:r w:rsidR="006D7116" w:rsidRPr="0096577B">
        <w:rPr>
          <w:rFonts w:cs="Arial"/>
          <w:i/>
          <w:iCs/>
        </w:rPr>
        <w:t>mentioned</w:t>
      </w:r>
      <w:r w:rsidR="00FE53A8">
        <w:rPr>
          <w:rFonts w:cs="Arial"/>
        </w:rPr>
        <w:t xml:space="preserve"> in the opposition</w:t>
      </w:r>
      <w:r w:rsidR="006D7116" w:rsidRPr="00707A47">
        <w:rPr>
          <w:rFonts w:cs="Arial"/>
        </w:rPr>
        <w:t xml:space="preserve">—but the effect </w:t>
      </w:r>
      <w:r>
        <w:rPr>
          <w:rFonts w:cs="Arial"/>
        </w:rPr>
        <w:t xml:space="preserve">of that absence </w:t>
      </w:r>
      <w:r w:rsidR="00DD3E4D">
        <w:rPr>
          <w:rFonts w:cs="Arial"/>
        </w:rPr>
        <w:t>pursuant to</w:t>
      </w:r>
      <w:r w:rsidR="006D7116" w:rsidRPr="00707A47">
        <w:rPr>
          <w:rFonts w:cs="Arial"/>
        </w:rPr>
        <w:t xml:space="preserve"> Rule 15(a) </w:t>
      </w:r>
      <w:r w:rsidR="00DD3E4D">
        <w:rPr>
          <w:rFonts w:cs="Arial"/>
        </w:rPr>
        <w:t>and</w:t>
      </w:r>
      <w:r w:rsidR="006D7116" w:rsidRPr="00707A47">
        <w:rPr>
          <w:rFonts w:cs="Arial"/>
        </w:rPr>
        <w:t xml:space="preserve"> </w:t>
      </w:r>
      <w:r w:rsidR="006D7116" w:rsidRPr="00707A47">
        <w:rPr>
          <w:rFonts w:cs="Arial"/>
          <w:i/>
          <w:iCs/>
        </w:rPr>
        <w:t>Davis</w:t>
      </w:r>
      <w:r w:rsidR="00EC7B01">
        <w:rPr>
          <w:rFonts w:cs="Arial"/>
        </w:rPr>
        <w:t xml:space="preserve"> is not disputed. </w:t>
      </w:r>
      <w:r w:rsidR="003833E1">
        <w:rPr>
          <w:rFonts w:cs="Arial"/>
        </w:rPr>
        <w:t>Thus, this should be deemed conceded.</w:t>
      </w:r>
    </w:p>
    <w:p w14:paraId="6E0EE4DF" w14:textId="77777777" w:rsidR="007E07FF" w:rsidRPr="00707A47" w:rsidRDefault="007E07FF" w:rsidP="007E07FF">
      <w:pPr>
        <w:ind w:left="360" w:firstLine="360"/>
        <w:jc w:val="both"/>
        <w:outlineLvl w:val="0"/>
        <w:rPr>
          <w:rFonts w:cs="Arial"/>
        </w:rPr>
      </w:pPr>
    </w:p>
    <w:p w14:paraId="24F2E2BD" w14:textId="39CE4730" w:rsidR="000B1046" w:rsidRPr="00707A47" w:rsidRDefault="0096577B" w:rsidP="007E07FF">
      <w:pPr>
        <w:ind w:left="360" w:firstLine="360"/>
        <w:jc w:val="both"/>
        <w:outlineLvl w:val="0"/>
        <w:rPr>
          <w:rFonts w:cs="Arial"/>
        </w:rPr>
      </w:pPr>
      <w:r>
        <w:rPr>
          <w:rFonts w:cs="Arial"/>
        </w:rPr>
        <w:t>—</w:t>
      </w:r>
      <w:r w:rsidR="000B1046" w:rsidRPr="00EE6656">
        <w:rPr>
          <w:rFonts w:cs="Arial"/>
          <w:i/>
          <w:iCs/>
        </w:rPr>
        <w:t xml:space="preserve">All three </w:t>
      </w:r>
      <w:r w:rsidR="00DD3E4D">
        <w:rPr>
          <w:rFonts w:cs="Arial"/>
          <w:i/>
          <w:iCs/>
        </w:rPr>
        <w:t xml:space="preserve">of those </w:t>
      </w:r>
      <w:r w:rsidR="000B1046" w:rsidRPr="00EE6656">
        <w:rPr>
          <w:rFonts w:cs="Arial"/>
          <w:i/>
          <w:iCs/>
        </w:rPr>
        <w:t xml:space="preserve">defendants filed motions to dismiss stating Manal </w:t>
      </w:r>
      <w:r w:rsidR="003D3913" w:rsidRPr="00EE6656">
        <w:rPr>
          <w:rFonts w:cs="Arial"/>
          <w:i/>
          <w:iCs/>
        </w:rPr>
        <w:t>is</w:t>
      </w:r>
      <w:r w:rsidR="000B1046" w:rsidRPr="00EE6656">
        <w:rPr>
          <w:rFonts w:cs="Arial"/>
          <w:i/>
          <w:iCs/>
        </w:rPr>
        <w:t xml:space="preserve"> a necessary party</w:t>
      </w:r>
      <w:r w:rsidR="000B1046" w:rsidRPr="00707A47">
        <w:rPr>
          <w:rFonts w:cs="Arial"/>
        </w:rPr>
        <w:t>.</w:t>
      </w:r>
      <w:r w:rsidR="006D7116" w:rsidRPr="00707A47">
        <w:rPr>
          <w:rFonts w:cs="Arial"/>
        </w:rPr>
        <w:t xml:space="preserve"> Again, this is </w:t>
      </w:r>
      <w:r w:rsidR="006D7116" w:rsidRPr="00E72B67">
        <w:rPr>
          <w:rFonts w:cs="Arial"/>
          <w:i/>
          <w:iCs/>
        </w:rPr>
        <w:t>mentioned</w:t>
      </w:r>
      <w:r w:rsidR="00DD3E4D">
        <w:rPr>
          <w:rFonts w:cs="Arial"/>
        </w:rPr>
        <w:t xml:space="preserve"> in the opposition</w:t>
      </w:r>
      <w:r w:rsidR="006D7116" w:rsidRPr="00707A47">
        <w:rPr>
          <w:rFonts w:cs="Arial"/>
        </w:rPr>
        <w:t xml:space="preserve">, but not in the context of either the rule or </w:t>
      </w:r>
      <w:r w:rsidR="006D7116" w:rsidRPr="00FE53A8">
        <w:rPr>
          <w:rFonts w:cs="Arial"/>
          <w:i/>
          <w:iCs/>
        </w:rPr>
        <w:t>Davis</w:t>
      </w:r>
      <w:r w:rsidR="006D7116" w:rsidRPr="00707A47">
        <w:rPr>
          <w:rFonts w:cs="Arial"/>
        </w:rPr>
        <w:t xml:space="preserve">. </w:t>
      </w:r>
      <w:r w:rsidR="003833E1">
        <w:rPr>
          <w:rFonts w:cs="Arial"/>
        </w:rPr>
        <w:t xml:space="preserve">Thus, </w:t>
      </w:r>
      <w:r w:rsidR="00D91BF5">
        <w:rPr>
          <w:rFonts w:cs="Arial"/>
        </w:rPr>
        <w:t>it</w:t>
      </w:r>
      <w:r w:rsidR="00EC7B01">
        <w:rPr>
          <w:rFonts w:cs="Arial"/>
        </w:rPr>
        <w:t xml:space="preserve"> is not disputed, </w:t>
      </w:r>
      <w:r w:rsidR="003833E1">
        <w:rPr>
          <w:rFonts w:cs="Arial"/>
        </w:rPr>
        <w:t xml:space="preserve">and should be deemed conceded. </w:t>
      </w:r>
      <w:r w:rsidR="00EC7B01">
        <w:rPr>
          <w:rFonts w:cs="Arial"/>
        </w:rPr>
        <w:t>i</w:t>
      </w:r>
      <w:r w:rsidR="006D7116" w:rsidRPr="00707A47">
        <w:rPr>
          <w:rFonts w:cs="Arial"/>
        </w:rPr>
        <w:t xml:space="preserve">nstead </w:t>
      </w:r>
      <w:r w:rsidR="00282A95">
        <w:rPr>
          <w:rFonts w:cs="Arial"/>
        </w:rPr>
        <w:t>Fathi</w:t>
      </w:r>
      <w:r w:rsidR="006D7116" w:rsidRPr="00707A47">
        <w:rPr>
          <w:rFonts w:cs="Arial"/>
        </w:rPr>
        <w:t xml:space="preserve"> </w:t>
      </w:r>
      <w:r w:rsidR="006474F7">
        <w:rPr>
          <w:rFonts w:cs="Arial"/>
        </w:rPr>
        <w:t xml:space="preserve">(again) </w:t>
      </w:r>
      <w:r w:rsidR="006D7116" w:rsidRPr="00707A47">
        <w:rPr>
          <w:rFonts w:cs="Arial"/>
        </w:rPr>
        <w:t>makes the puzzling assertion, at 1 of the opposition, that Hamed “fails to join an indispensable party, Manal Yousef.”</w:t>
      </w:r>
      <w:r w:rsidR="00FE53A8">
        <w:rPr>
          <w:rFonts w:cs="Arial"/>
        </w:rPr>
        <w:t xml:space="preserve"> </w:t>
      </w:r>
    </w:p>
    <w:p w14:paraId="60D38A01" w14:textId="77777777" w:rsidR="007E07FF" w:rsidRPr="00707A47" w:rsidRDefault="007E07FF" w:rsidP="007E07FF">
      <w:pPr>
        <w:ind w:left="360" w:firstLine="360"/>
        <w:jc w:val="both"/>
        <w:outlineLvl w:val="0"/>
        <w:rPr>
          <w:rFonts w:cs="Arial"/>
        </w:rPr>
      </w:pPr>
    </w:p>
    <w:p w14:paraId="4C40C232" w14:textId="142F1AA0" w:rsidR="000B1046" w:rsidRPr="00707A47" w:rsidRDefault="0096577B" w:rsidP="007E07FF">
      <w:pPr>
        <w:ind w:left="360" w:firstLine="360"/>
        <w:jc w:val="both"/>
        <w:outlineLvl w:val="0"/>
        <w:rPr>
          <w:rFonts w:cs="Arial"/>
        </w:rPr>
      </w:pPr>
      <w:r>
        <w:rPr>
          <w:rFonts w:cs="Arial"/>
        </w:rPr>
        <w:t>—</w:t>
      </w:r>
      <w:r w:rsidR="000B1046" w:rsidRPr="00EE6656">
        <w:rPr>
          <w:rFonts w:cs="Arial"/>
          <w:i/>
          <w:iCs/>
        </w:rPr>
        <w:t>No depositions have been taken in the action, and time for taking is enlarged</w:t>
      </w:r>
      <w:r w:rsidR="000B1046" w:rsidRPr="00707A47">
        <w:rPr>
          <w:rFonts w:cs="Arial"/>
        </w:rPr>
        <w:t>.</w:t>
      </w:r>
      <w:r w:rsidR="006D7116" w:rsidRPr="00707A47">
        <w:rPr>
          <w:rFonts w:cs="Arial"/>
        </w:rPr>
        <w:t xml:space="preserve"> The</w:t>
      </w:r>
      <w:r w:rsidR="00DD3E4D">
        <w:rPr>
          <w:rFonts w:cs="Arial"/>
        </w:rPr>
        <w:t xml:space="preserve"> opposition contains </w:t>
      </w:r>
      <w:r w:rsidR="006D7116" w:rsidRPr="00707A47">
        <w:rPr>
          <w:rFonts w:cs="Arial"/>
        </w:rPr>
        <w:t xml:space="preserve">no </w:t>
      </w:r>
      <w:r w:rsidR="00EC7B01">
        <w:rPr>
          <w:rFonts w:cs="Arial"/>
        </w:rPr>
        <w:t>dispute</w:t>
      </w:r>
      <w:r w:rsidR="006D7116" w:rsidRPr="00707A47">
        <w:rPr>
          <w:rFonts w:cs="Arial"/>
        </w:rPr>
        <w:t xml:space="preserve"> of </w:t>
      </w:r>
      <w:r w:rsidR="00DD3E4D">
        <w:rPr>
          <w:rFonts w:cs="Arial"/>
        </w:rPr>
        <w:t xml:space="preserve">Hamed’s discussion of this </w:t>
      </w:r>
      <w:r w:rsidR="00FE53A8">
        <w:rPr>
          <w:rFonts w:cs="Arial"/>
        </w:rPr>
        <w:t xml:space="preserve">under </w:t>
      </w:r>
      <w:r w:rsidR="00FE53A8" w:rsidRPr="00FE53A8">
        <w:rPr>
          <w:rFonts w:cs="Arial"/>
          <w:i/>
          <w:iCs/>
        </w:rPr>
        <w:t>Davis</w:t>
      </w:r>
      <w:r w:rsidR="00EE6656">
        <w:rPr>
          <w:rFonts w:cs="Arial"/>
        </w:rPr>
        <w:t xml:space="preserve">—or how these defendants </w:t>
      </w:r>
      <w:r w:rsidR="00EC7B01">
        <w:rPr>
          <w:rFonts w:cs="Arial"/>
        </w:rPr>
        <w:t>might</w:t>
      </w:r>
      <w:r w:rsidR="00EE6656">
        <w:rPr>
          <w:rFonts w:cs="Arial"/>
        </w:rPr>
        <w:t xml:space="preserve"> </w:t>
      </w:r>
      <w:r w:rsidR="00FE53A8">
        <w:rPr>
          <w:rFonts w:cs="Arial"/>
        </w:rPr>
        <w:t xml:space="preserve"> be prejudiced in a</w:t>
      </w:r>
      <w:r w:rsidR="00EC7B01">
        <w:rPr>
          <w:rFonts w:cs="Arial"/>
        </w:rPr>
        <w:t>ny</w:t>
      </w:r>
      <w:r w:rsidR="00FE53A8">
        <w:rPr>
          <w:rFonts w:cs="Arial"/>
        </w:rPr>
        <w:t xml:space="preserve"> manner discussed by that court.</w:t>
      </w:r>
      <w:r w:rsidR="003833E1">
        <w:rPr>
          <w:rFonts w:cs="Arial"/>
        </w:rPr>
        <w:t xml:space="preserve"> Thus, this should also be deemed conceded.</w:t>
      </w:r>
    </w:p>
    <w:p w14:paraId="08AF7512" w14:textId="77777777" w:rsidR="007E07FF" w:rsidRPr="00707A47" w:rsidRDefault="007E07FF" w:rsidP="007E07FF">
      <w:pPr>
        <w:ind w:firstLine="360"/>
        <w:jc w:val="both"/>
        <w:outlineLvl w:val="0"/>
        <w:rPr>
          <w:rFonts w:cs="Arial"/>
        </w:rPr>
      </w:pPr>
    </w:p>
    <w:p w14:paraId="56E8BC48" w14:textId="6C11AABE" w:rsidR="006D7116" w:rsidRPr="00707A47" w:rsidRDefault="006D7116" w:rsidP="00826D4C">
      <w:pPr>
        <w:spacing w:line="480" w:lineRule="auto"/>
        <w:ind w:firstLine="360"/>
        <w:jc w:val="both"/>
        <w:outlineLvl w:val="0"/>
        <w:rPr>
          <w:rFonts w:cs="Arial"/>
          <w:b/>
          <w:bCs/>
        </w:rPr>
      </w:pPr>
      <w:r w:rsidRPr="00707A47">
        <w:rPr>
          <w:rFonts w:cs="Arial"/>
          <w:b/>
          <w:bCs/>
        </w:rPr>
        <w:t xml:space="preserve">II. </w:t>
      </w:r>
      <w:r w:rsidR="00282A95">
        <w:rPr>
          <w:rFonts w:cs="Arial"/>
          <w:b/>
          <w:bCs/>
        </w:rPr>
        <w:t>Fathi</w:t>
      </w:r>
      <w:r w:rsidRPr="00707A47">
        <w:rPr>
          <w:rFonts w:cs="Arial"/>
          <w:b/>
          <w:bCs/>
        </w:rPr>
        <w:t>’s Assertions</w:t>
      </w:r>
    </w:p>
    <w:p w14:paraId="6A3E950F" w14:textId="259397D5" w:rsidR="006D7116" w:rsidRPr="00707A47" w:rsidRDefault="00282A95" w:rsidP="00DD3E4D">
      <w:pPr>
        <w:spacing w:line="480" w:lineRule="auto"/>
        <w:ind w:firstLine="720"/>
        <w:jc w:val="both"/>
        <w:outlineLvl w:val="0"/>
        <w:rPr>
          <w:rFonts w:cs="Arial"/>
        </w:rPr>
      </w:pPr>
      <w:r>
        <w:rPr>
          <w:rFonts w:cs="Arial"/>
        </w:rPr>
        <w:t>Fathi</w:t>
      </w:r>
      <w:r w:rsidR="006D7116" w:rsidRPr="00707A47">
        <w:rPr>
          <w:rFonts w:cs="Arial"/>
        </w:rPr>
        <w:t xml:space="preserve"> makes </w:t>
      </w:r>
      <w:r w:rsidR="00EE6656">
        <w:rPr>
          <w:rFonts w:cs="Arial"/>
        </w:rPr>
        <w:t xml:space="preserve">four </w:t>
      </w:r>
      <w:r w:rsidR="00D51274">
        <w:rPr>
          <w:rFonts w:cs="Arial"/>
        </w:rPr>
        <w:t xml:space="preserve">basic </w:t>
      </w:r>
      <w:r w:rsidR="006D7116" w:rsidRPr="00707A47">
        <w:rPr>
          <w:rFonts w:cs="Arial"/>
        </w:rPr>
        <w:t>assertions</w:t>
      </w:r>
      <w:r w:rsidR="00D51274">
        <w:rPr>
          <w:rFonts w:cs="Arial"/>
        </w:rPr>
        <w:t xml:space="preserve">. </w:t>
      </w:r>
      <w:r w:rsidR="006D7116" w:rsidRPr="00707A47">
        <w:rPr>
          <w:rFonts w:cs="Arial"/>
        </w:rPr>
        <w:t xml:space="preserve">Hamed will address each </w:t>
      </w:r>
      <w:r w:rsidR="00EE6656">
        <w:rPr>
          <w:rFonts w:cs="Arial"/>
        </w:rPr>
        <w:t>of the four</w:t>
      </w:r>
      <w:r w:rsidR="00FE53A8">
        <w:rPr>
          <w:rFonts w:cs="Arial"/>
        </w:rPr>
        <w:t xml:space="preserve">, </w:t>
      </w:r>
      <w:r w:rsidR="00FE53A8" w:rsidRPr="00EC7B01">
        <w:rPr>
          <w:rFonts w:cs="Arial"/>
          <w:i/>
          <w:iCs/>
        </w:rPr>
        <w:t>verbatim</w:t>
      </w:r>
      <w:r w:rsidR="00FE53A8">
        <w:rPr>
          <w:rFonts w:cs="Arial"/>
        </w:rPr>
        <w:t xml:space="preserve">, </w:t>
      </w:r>
      <w:r w:rsidR="006474F7">
        <w:rPr>
          <w:rFonts w:cs="Arial"/>
        </w:rPr>
        <w:t xml:space="preserve">as they </w:t>
      </w:r>
      <w:r w:rsidR="006D7116" w:rsidRPr="00707A47">
        <w:rPr>
          <w:rFonts w:cs="Arial"/>
        </w:rPr>
        <w:t>appear</w:t>
      </w:r>
      <w:r w:rsidR="006474F7">
        <w:rPr>
          <w:rFonts w:cs="Arial"/>
        </w:rPr>
        <w:t xml:space="preserve"> in </w:t>
      </w:r>
      <w:r w:rsidR="00EC7B01">
        <w:rPr>
          <w:rFonts w:cs="Arial"/>
        </w:rPr>
        <w:t>his</w:t>
      </w:r>
      <w:r w:rsidR="006474F7">
        <w:rPr>
          <w:rFonts w:cs="Arial"/>
        </w:rPr>
        <w:t xml:space="preserve"> opposition</w:t>
      </w:r>
      <w:r w:rsidR="006D7116" w:rsidRPr="00707A47">
        <w:rPr>
          <w:rFonts w:cs="Arial"/>
        </w:rPr>
        <w:t>.</w:t>
      </w:r>
    </w:p>
    <w:p w14:paraId="00C6C3E0" w14:textId="658B63D7" w:rsidR="006D7116" w:rsidRPr="007E2374" w:rsidRDefault="006D7116" w:rsidP="000D5D59">
      <w:pPr>
        <w:pStyle w:val="ListParagraph"/>
        <w:numPr>
          <w:ilvl w:val="0"/>
          <w:numId w:val="37"/>
        </w:numPr>
        <w:spacing w:after="0" w:line="240" w:lineRule="auto"/>
        <w:ind w:left="360" w:firstLine="0"/>
        <w:jc w:val="both"/>
        <w:outlineLvl w:val="0"/>
        <w:rPr>
          <w:rFonts w:ascii="Arial" w:hAnsi="Arial" w:cs="Arial"/>
          <w:sz w:val="24"/>
          <w:szCs w:val="24"/>
        </w:rPr>
      </w:pPr>
      <w:r w:rsidRPr="007E2374">
        <w:rPr>
          <w:rFonts w:ascii="Arial" w:hAnsi="Arial" w:cs="Arial"/>
          <w:sz w:val="24"/>
          <w:szCs w:val="24"/>
        </w:rPr>
        <w:t>At 1,</w:t>
      </w:r>
      <w:r w:rsidR="00EE6656">
        <w:rPr>
          <w:rFonts w:ascii="Arial" w:hAnsi="Arial" w:cs="Arial"/>
          <w:sz w:val="24"/>
          <w:szCs w:val="24"/>
        </w:rPr>
        <w:t xml:space="preserve"> (in the introduction)</w:t>
      </w:r>
      <w:r w:rsidRPr="007E2374">
        <w:rPr>
          <w:rFonts w:ascii="Arial" w:hAnsi="Arial" w:cs="Arial"/>
          <w:sz w:val="24"/>
          <w:szCs w:val="24"/>
        </w:rPr>
        <w:t xml:space="preserve"> “there currently remains pending since January 2017</w:t>
      </w:r>
      <w:r w:rsidR="00A30A84" w:rsidRPr="007E2374">
        <w:rPr>
          <w:rFonts w:ascii="Arial" w:hAnsi="Arial" w:cs="Arial"/>
          <w:sz w:val="24"/>
          <w:szCs w:val="24"/>
        </w:rPr>
        <w:t>, Yusuf’s Mot</w:t>
      </w:r>
      <w:r w:rsidR="00EE6656">
        <w:rPr>
          <w:rFonts w:ascii="Arial" w:hAnsi="Arial" w:cs="Arial"/>
          <w:sz w:val="24"/>
          <w:szCs w:val="24"/>
        </w:rPr>
        <w:t>i</w:t>
      </w:r>
      <w:r w:rsidR="00A30A84" w:rsidRPr="007E2374">
        <w:rPr>
          <w:rFonts w:ascii="Arial" w:hAnsi="Arial" w:cs="Arial"/>
          <w:sz w:val="24"/>
          <w:szCs w:val="24"/>
        </w:rPr>
        <w:t>on to Dismiss Plaintiff’s First Amended Complaint (“FAC”)</w:t>
      </w:r>
      <w:r w:rsidRPr="007E2374">
        <w:rPr>
          <w:rFonts w:ascii="Arial" w:hAnsi="Arial" w:cs="Arial"/>
          <w:sz w:val="24"/>
          <w:szCs w:val="24"/>
        </w:rPr>
        <w:t>”</w:t>
      </w:r>
      <w:r w:rsidR="007E2374" w:rsidRPr="007E2374">
        <w:rPr>
          <w:rFonts w:ascii="Arial" w:hAnsi="Arial" w:cs="Arial"/>
          <w:sz w:val="24"/>
          <w:szCs w:val="24"/>
        </w:rPr>
        <w:t xml:space="preserve"> And, at 2, (numbered section II): “Fatal deficiencies in the first amended complaint remain, thus, amendment would be futile.”</w:t>
      </w:r>
    </w:p>
    <w:p w14:paraId="27EE6ACC" w14:textId="77777777" w:rsidR="00A30A84" w:rsidRPr="00707A47" w:rsidRDefault="00A30A84" w:rsidP="007E07FF">
      <w:pPr>
        <w:pStyle w:val="ListParagraph"/>
        <w:spacing w:after="0" w:line="240" w:lineRule="auto"/>
        <w:ind w:left="360"/>
        <w:jc w:val="both"/>
        <w:outlineLvl w:val="0"/>
        <w:rPr>
          <w:rFonts w:ascii="Arial" w:hAnsi="Arial" w:cs="Arial"/>
          <w:sz w:val="24"/>
          <w:szCs w:val="24"/>
        </w:rPr>
      </w:pPr>
    </w:p>
    <w:p w14:paraId="374CBCE0" w14:textId="35EEBD80" w:rsidR="006D7116" w:rsidRPr="00707A47" w:rsidRDefault="006D7116" w:rsidP="007E07FF">
      <w:pPr>
        <w:pStyle w:val="ListParagraph"/>
        <w:numPr>
          <w:ilvl w:val="0"/>
          <w:numId w:val="37"/>
        </w:numPr>
        <w:spacing w:after="0" w:line="240" w:lineRule="auto"/>
        <w:ind w:left="360" w:firstLine="0"/>
        <w:jc w:val="both"/>
        <w:outlineLvl w:val="0"/>
        <w:rPr>
          <w:rFonts w:ascii="Arial" w:hAnsi="Arial" w:cs="Arial"/>
          <w:sz w:val="24"/>
          <w:szCs w:val="24"/>
        </w:rPr>
      </w:pPr>
      <w:r w:rsidRPr="00707A47">
        <w:rPr>
          <w:rFonts w:ascii="Arial" w:hAnsi="Arial" w:cs="Arial"/>
          <w:sz w:val="24"/>
          <w:szCs w:val="24"/>
        </w:rPr>
        <w:t>At 1: “since the statute of limitations has long since passed on these claims, there is nothing that can be done to resurrect the stale claims.”</w:t>
      </w:r>
    </w:p>
    <w:p w14:paraId="5CF97B3A" w14:textId="77777777" w:rsidR="00A30A84" w:rsidRPr="00707A47" w:rsidRDefault="00A30A84" w:rsidP="007E07FF">
      <w:pPr>
        <w:ind w:left="360"/>
        <w:jc w:val="both"/>
        <w:outlineLvl w:val="0"/>
        <w:rPr>
          <w:rFonts w:cs="Arial"/>
        </w:rPr>
      </w:pPr>
    </w:p>
    <w:p w14:paraId="3D88366C" w14:textId="62DDFD6E" w:rsidR="006D7116" w:rsidRPr="00707A47" w:rsidRDefault="006D7116" w:rsidP="007E07FF">
      <w:pPr>
        <w:pStyle w:val="ListParagraph"/>
        <w:numPr>
          <w:ilvl w:val="0"/>
          <w:numId w:val="37"/>
        </w:numPr>
        <w:spacing w:after="0" w:line="240" w:lineRule="auto"/>
        <w:ind w:left="360" w:firstLine="0"/>
        <w:jc w:val="both"/>
        <w:outlineLvl w:val="0"/>
        <w:rPr>
          <w:rFonts w:ascii="Arial" w:hAnsi="Arial" w:cs="Arial"/>
          <w:sz w:val="24"/>
          <w:szCs w:val="24"/>
        </w:rPr>
      </w:pPr>
      <w:r w:rsidRPr="00707A47">
        <w:rPr>
          <w:rFonts w:ascii="Arial" w:hAnsi="Arial" w:cs="Arial"/>
          <w:sz w:val="24"/>
          <w:szCs w:val="24"/>
        </w:rPr>
        <w:t>At 2, (numbered section I): “Plaintiff seeks more than to just add a party.”</w:t>
      </w:r>
    </w:p>
    <w:p w14:paraId="1F680BEA" w14:textId="77777777" w:rsidR="00A30A84" w:rsidRPr="00707A47" w:rsidRDefault="00A30A84" w:rsidP="007E07FF">
      <w:pPr>
        <w:ind w:left="360"/>
        <w:jc w:val="both"/>
        <w:outlineLvl w:val="0"/>
        <w:rPr>
          <w:rFonts w:cs="Arial"/>
        </w:rPr>
      </w:pPr>
    </w:p>
    <w:p w14:paraId="51E84B50" w14:textId="1091A5B6" w:rsidR="00A30A84" w:rsidRPr="00707A47" w:rsidRDefault="00A30A84" w:rsidP="007E07FF">
      <w:pPr>
        <w:pStyle w:val="ListParagraph"/>
        <w:numPr>
          <w:ilvl w:val="0"/>
          <w:numId w:val="37"/>
        </w:numPr>
        <w:spacing w:after="0" w:line="240" w:lineRule="auto"/>
        <w:ind w:left="360" w:firstLine="0"/>
        <w:jc w:val="both"/>
        <w:outlineLvl w:val="0"/>
        <w:rPr>
          <w:rFonts w:ascii="Arial" w:hAnsi="Arial" w:cs="Arial"/>
          <w:sz w:val="24"/>
          <w:szCs w:val="24"/>
        </w:rPr>
      </w:pPr>
      <w:r w:rsidRPr="00707A47">
        <w:rPr>
          <w:rFonts w:ascii="Arial" w:hAnsi="Arial" w:cs="Arial"/>
          <w:sz w:val="24"/>
          <w:szCs w:val="24"/>
        </w:rPr>
        <w:t>At 3: “[There has been] undue delay as to the addition of Manal Yousef.”</w:t>
      </w:r>
    </w:p>
    <w:p w14:paraId="3E8EFCCD" w14:textId="77777777" w:rsidR="007E07FF" w:rsidRPr="00707A47" w:rsidRDefault="007E07FF" w:rsidP="007E07FF">
      <w:pPr>
        <w:jc w:val="both"/>
        <w:outlineLvl w:val="0"/>
        <w:rPr>
          <w:rFonts w:cs="Arial"/>
        </w:rPr>
      </w:pPr>
    </w:p>
    <w:p w14:paraId="0AD1455D" w14:textId="55854AFF" w:rsidR="00A30A84" w:rsidRPr="00707A47" w:rsidRDefault="00A30A84" w:rsidP="00826D4C">
      <w:pPr>
        <w:spacing w:line="480" w:lineRule="auto"/>
        <w:ind w:firstLine="360"/>
        <w:jc w:val="both"/>
        <w:outlineLvl w:val="0"/>
        <w:rPr>
          <w:rFonts w:cs="Arial"/>
          <w:b/>
          <w:bCs/>
        </w:rPr>
      </w:pPr>
      <w:r w:rsidRPr="00707A47">
        <w:rPr>
          <w:rFonts w:cs="Arial"/>
          <w:b/>
          <w:bCs/>
        </w:rPr>
        <w:t xml:space="preserve">III. Hamed’s Replies on a </w:t>
      </w:r>
      <w:r w:rsidR="00EC7B01">
        <w:rPr>
          <w:rFonts w:cs="Arial"/>
          <w:b/>
          <w:bCs/>
        </w:rPr>
        <w:t xml:space="preserve">Point-by-Point </w:t>
      </w:r>
      <w:r w:rsidRPr="00707A47">
        <w:rPr>
          <w:rFonts w:cs="Arial"/>
          <w:b/>
          <w:bCs/>
        </w:rPr>
        <w:t>Basis</w:t>
      </w:r>
    </w:p>
    <w:p w14:paraId="2F7D9F4A" w14:textId="6C13FE96" w:rsidR="00A30A84" w:rsidRPr="00774A14" w:rsidRDefault="00A30A84" w:rsidP="00826D4C">
      <w:pPr>
        <w:pStyle w:val="ListParagraph"/>
        <w:numPr>
          <w:ilvl w:val="0"/>
          <w:numId w:val="38"/>
        </w:numPr>
        <w:spacing w:after="0" w:line="240" w:lineRule="auto"/>
        <w:ind w:left="0"/>
        <w:jc w:val="both"/>
        <w:outlineLvl w:val="0"/>
        <w:rPr>
          <w:rFonts w:ascii="Arial" w:hAnsi="Arial" w:cs="Arial"/>
          <w:i/>
          <w:iCs/>
          <w:sz w:val="24"/>
          <w:szCs w:val="24"/>
        </w:rPr>
      </w:pPr>
      <w:r w:rsidRPr="00774A14">
        <w:rPr>
          <w:rFonts w:ascii="Arial" w:hAnsi="Arial" w:cs="Arial"/>
          <w:i/>
          <w:iCs/>
          <w:sz w:val="24"/>
          <w:szCs w:val="24"/>
        </w:rPr>
        <w:lastRenderedPageBreak/>
        <w:t xml:space="preserve">At 1, </w:t>
      </w:r>
      <w:r w:rsidR="007E2374" w:rsidRPr="007E2374">
        <w:rPr>
          <w:rFonts w:ascii="Arial" w:hAnsi="Arial" w:cs="Arial"/>
          <w:sz w:val="24"/>
          <w:szCs w:val="24"/>
        </w:rPr>
        <w:t>“there currently remains pending since January 2017, Yusuf’s Motion to Dismiss Plaintiff’s First Amended Complaint (“FAC”)” And, at 2, (numbered section II): “Fatal deficiencies in the first amended complaint remain, thus, amendment would be futile.”</w:t>
      </w:r>
    </w:p>
    <w:p w14:paraId="148E11B1" w14:textId="67596245" w:rsidR="00A30A84" w:rsidRPr="00707A47" w:rsidRDefault="00A30A84" w:rsidP="00826D4C">
      <w:pPr>
        <w:jc w:val="both"/>
        <w:outlineLvl w:val="0"/>
        <w:rPr>
          <w:rFonts w:cs="Arial"/>
        </w:rPr>
      </w:pPr>
    </w:p>
    <w:p w14:paraId="6E501E86" w14:textId="2E44C340" w:rsidR="00D51274" w:rsidRDefault="00A30A84" w:rsidP="00826D4C">
      <w:pPr>
        <w:spacing w:line="480" w:lineRule="auto"/>
        <w:ind w:firstLine="720"/>
        <w:jc w:val="both"/>
        <w:outlineLvl w:val="0"/>
        <w:rPr>
          <w:rFonts w:cs="Arial"/>
        </w:rPr>
      </w:pPr>
      <w:r w:rsidRPr="00707A47">
        <w:rPr>
          <w:rFonts w:cs="Arial"/>
        </w:rPr>
        <w:t xml:space="preserve">It is apparent that if </w:t>
      </w:r>
      <w:r w:rsidR="00D51274">
        <w:rPr>
          <w:rFonts w:cs="Arial"/>
        </w:rPr>
        <w:t>t</w:t>
      </w:r>
      <w:r w:rsidR="003D47BD">
        <w:rPr>
          <w:rFonts w:cs="Arial"/>
        </w:rPr>
        <w:t>he Court decides th</w:t>
      </w:r>
      <w:r w:rsidR="00E72B67">
        <w:rPr>
          <w:rFonts w:cs="Arial"/>
        </w:rPr>
        <w:t>e</w:t>
      </w:r>
      <w:r w:rsidR="003D47BD">
        <w:rPr>
          <w:rFonts w:cs="Arial"/>
        </w:rPr>
        <w:t xml:space="preserve"> </w:t>
      </w:r>
      <w:r w:rsidR="00D51274">
        <w:rPr>
          <w:rFonts w:cs="Arial"/>
        </w:rPr>
        <w:t xml:space="preserve">two </w:t>
      </w:r>
      <w:r w:rsidR="00E72B67">
        <w:rPr>
          <w:rFonts w:cs="Arial"/>
        </w:rPr>
        <w:t xml:space="preserve">pending </w:t>
      </w:r>
      <w:r w:rsidRPr="00707A47">
        <w:rPr>
          <w:rFonts w:cs="Arial"/>
        </w:rPr>
        <w:t>motion</w:t>
      </w:r>
      <w:r w:rsidR="00D51274">
        <w:rPr>
          <w:rFonts w:cs="Arial"/>
        </w:rPr>
        <w:t>s</w:t>
      </w:r>
      <w:r w:rsidRPr="00707A47">
        <w:rPr>
          <w:rFonts w:cs="Arial"/>
        </w:rPr>
        <w:t xml:space="preserve"> to dismiss </w:t>
      </w:r>
      <w:r w:rsidR="003D47BD">
        <w:rPr>
          <w:rFonts w:cs="Arial"/>
        </w:rPr>
        <w:t>first, and th</w:t>
      </w:r>
      <w:r w:rsidR="00DD3E4D">
        <w:rPr>
          <w:rFonts w:cs="Arial"/>
        </w:rPr>
        <w:t>e</w:t>
      </w:r>
      <w:r w:rsidR="003D47BD">
        <w:rPr>
          <w:rFonts w:cs="Arial"/>
        </w:rPr>
        <w:t xml:space="preserve">y </w:t>
      </w:r>
      <w:r w:rsidR="00D51274">
        <w:rPr>
          <w:rFonts w:cs="Arial"/>
        </w:rPr>
        <w:t>are</w:t>
      </w:r>
      <w:r w:rsidRPr="00707A47">
        <w:rPr>
          <w:rFonts w:cs="Arial"/>
        </w:rPr>
        <w:t xml:space="preserve"> granted</w:t>
      </w:r>
      <w:r w:rsidR="00D51274">
        <w:rPr>
          <w:rFonts w:cs="Arial"/>
        </w:rPr>
        <w:t xml:space="preserve"> in full</w:t>
      </w:r>
      <w:r w:rsidRPr="00707A47">
        <w:rPr>
          <w:rFonts w:cs="Arial"/>
        </w:rPr>
        <w:t xml:space="preserve">, the instant motion to </w:t>
      </w:r>
      <w:r w:rsidR="00967B03">
        <w:rPr>
          <w:rFonts w:cs="Arial"/>
        </w:rPr>
        <w:t>amend</w:t>
      </w:r>
      <w:r w:rsidRPr="00707A47">
        <w:rPr>
          <w:rFonts w:cs="Arial"/>
        </w:rPr>
        <w:t xml:space="preserve"> will be of </w:t>
      </w:r>
      <w:r w:rsidR="006474F7">
        <w:rPr>
          <w:rFonts w:cs="Arial"/>
        </w:rPr>
        <w:t>no</w:t>
      </w:r>
      <w:r w:rsidR="00967B03">
        <w:rPr>
          <w:rFonts w:cs="Arial"/>
        </w:rPr>
        <w:t xml:space="preserve"> </w:t>
      </w:r>
      <w:r w:rsidRPr="00707A47">
        <w:rPr>
          <w:rFonts w:cs="Arial"/>
        </w:rPr>
        <w:t>effect.</w:t>
      </w:r>
      <w:r w:rsidR="003D47BD">
        <w:rPr>
          <w:rFonts w:cs="Arial"/>
        </w:rPr>
        <w:t xml:space="preserve"> If</w:t>
      </w:r>
      <w:r w:rsidR="00E72B67">
        <w:rPr>
          <w:rFonts w:cs="Arial"/>
        </w:rPr>
        <w:t>, however,</w:t>
      </w:r>
      <w:r w:rsidR="003D47BD">
        <w:rPr>
          <w:rFonts w:cs="Arial"/>
        </w:rPr>
        <w:t xml:space="preserve"> this motion is granted first, it is likely defendants will either replace or revise their motions</w:t>
      </w:r>
      <w:r w:rsidR="00DD3E4D">
        <w:rPr>
          <w:rFonts w:cs="Arial"/>
        </w:rPr>
        <w:t xml:space="preserve"> to dismiss</w:t>
      </w:r>
      <w:r w:rsidR="003D47BD">
        <w:rPr>
          <w:rFonts w:cs="Arial"/>
        </w:rPr>
        <w:t>. In either case, there appears to be no reason to re-</w:t>
      </w:r>
      <w:r w:rsidR="00DD3E4D">
        <w:rPr>
          <w:rFonts w:cs="Arial"/>
        </w:rPr>
        <w:t>argue</w:t>
      </w:r>
      <w:r w:rsidR="003D47BD">
        <w:rPr>
          <w:rFonts w:cs="Arial"/>
        </w:rPr>
        <w:t xml:space="preserve"> those motions </w:t>
      </w:r>
      <w:r w:rsidR="00DD3E4D">
        <w:rPr>
          <w:rFonts w:cs="Arial"/>
        </w:rPr>
        <w:t>here</w:t>
      </w:r>
      <w:r w:rsidR="003D47BD">
        <w:rPr>
          <w:rFonts w:cs="Arial"/>
        </w:rPr>
        <w:t>.</w:t>
      </w:r>
      <w:r w:rsidR="007E2374">
        <w:rPr>
          <w:rFonts w:cs="Arial"/>
        </w:rPr>
        <w:t xml:space="preserve"> </w:t>
      </w:r>
    </w:p>
    <w:p w14:paraId="768B3423" w14:textId="2B4AFF7B" w:rsidR="00774A14" w:rsidRPr="00E72B67" w:rsidRDefault="00774A14" w:rsidP="00E72B67">
      <w:pPr>
        <w:pStyle w:val="ListParagraph"/>
        <w:numPr>
          <w:ilvl w:val="0"/>
          <w:numId w:val="38"/>
        </w:numPr>
        <w:spacing w:after="0" w:line="240" w:lineRule="auto"/>
        <w:ind w:left="72"/>
        <w:jc w:val="both"/>
        <w:outlineLvl w:val="0"/>
        <w:rPr>
          <w:rFonts w:ascii="Arial" w:hAnsi="Arial" w:cs="Arial"/>
          <w:i/>
          <w:iCs/>
          <w:sz w:val="24"/>
        </w:rPr>
      </w:pPr>
      <w:r w:rsidRPr="00E72B67">
        <w:rPr>
          <w:rFonts w:ascii="Arial" w:hAnsi="Arial" w:cs="Arial"/>
          <w:i/>
          <w:iCs/>
          <w:sz w:val="24"/>
        </w:rPr>
        <w:t>At 1: “since the statute of limitations has long since passed on these claims, there is nothing that can be done to resurrect the stale claims.”</w:t>
      </w:r>
    </w:p>
    <w:p w14:paraId="38222485" w14:textId="26E2C9D3" w:rsidR="00774A14" w:rsidRDefault="00774A14" w:rsidP="00774A14">
      <w:pPr>
        <w:jc w:val="both"/>
        <w:outlineLvl w:val="0"/>
        <w:rPr>
          <w:rFonts w:cs="Arial"/>
          <w:i/>
          <w:iCs/>
        </w:rPr>
      </w:pPr>
    </w:p>
    <w:p w14:paraId="564A234E" w14:textId="205B9605" w:rsidR="003D47BD" w:rsidRDefault="00282A95" w:rsidP="00826D4C">
      <w:pPr>
        <w:spacing w:line="480" w:lineRule="auto"/>
        <w:ind w:firstLine="720"/>
        <w:jc w:val="both"/>
        <w:outlineLvl w:val="0"/>
        <w:rPr>
          <w:rFonts w:cs="Arial"/>
        </w:rPr>
      </w:pPr>
      <w:r>
        <w:rPr>
          <w:rFonts w:cs="Arial"/>
        </w:rPr>
        <w:t>Fathi</w:t>
      </w:r>
      <w:r w:rsidR="00224EB5">
        <w:rPr>
          <w:rFonts w:cs="Arial"/>
        </w:rPr>
        <w:t xml:space="preserve"> next makes t</w:t>
      </w:r>
      <w:r w:rsidR="00A30A84" w:rsidRPr="00707A47">
        <w:rPr>
          <w:rFonts w:cs="Arial"/>
        </w:rPr>
        <w:t>h</w:t>
      </w:r>
      <w:r w:rsidR="00774A14">
        <w:rPr>
          <w:rFonts w:cs="Arial"/>
        </w:rPr>
        <w:t>e</w:t>
      </w:r>
      <w:r w:rsidR="00A30A84" w:rsidRPr="00707A47">
        <w:rPr>
          <w:rFonts w:cs="Arial"/>
        </w:rPr>
        <w:t xml:space="preserve"> argument that the statute of limitations has run</w:t>
      </w:r>
      <w:r w:rsidR="00D51274">
        <w:rPr>
          <w:rFonts w:cs="Arial"/>
        </w:rPr>
        <w:t xml:space="preserve">, which </w:t>
      </w:r>
      <w:r w:rsidR="00B161D7" w:rsidRPr="00D51274">
        <w:rPr>
          <w:rFonts w:cs="Arial"/>
          <w:i/>
          <w:iCs/>
        </w:rPr>
        <w:t>prevents amendment</w:t>
      </w:r>
      <w:r w:rsidR="00224EB5">
        <w:rPr>
          <w:rFonts w:cs="Arial"/>
        </w:rPr>
        <w:t>.</w:t>
      </w:r>
      <w:r w:rsidR="00A30A84" w:rsidRPr="00707A47">
        <w:rPr>
          <w:rFonts w:cs="Arial"/>
        </w:rPr>
        <w:t xml:space="preserve"> </w:t>
      </w:r>
      <w:r w:rsidR="00224EB5">
        <w:rPr>
          <w:rFonts w:cs="Arial"/>
        </w:rPr>
        <w:t xml:space="preserve">Although this too is addressed in the motions to dismiss, because </w:t>
      </w:r>
      <w:r w:rsidR="00224EB5" w:rsidRPr="00707A47">
        <w:rPr>
          <w:rFonts w:cs="Arial"/>
        </w:rPr>
        <w:t xml:space="preserve"> </w:t>
      </w:r>
      <w:r w:rsidR="00224EB5">
        <w:rPr>
          <w:rFonts w:cs="Arial"/>
        </w:rPr>
        <w:t xml:space="preserve">it is referred to </w:t>
      </w:r>
      <w:r w:rsidR="00224EB5" w:rsidRPr="00707A47">
        <w:rPr>
          <w:rFonts w:cs="Arial"/>
        </w:rPr>
        <w:t>repeatedly in the opposition</w:t>
      </w:r>
      <w:r w:rsidR="00224EB5">
        <w:rPr>
          <w:rFonts w:cs="Arial"/>
        </w:rPr>
        <w:t>, Hamed responds.</w:t>
      </w:r>
    </w:p>
    <w:p w14:paraId="1BFDD633" w14:textId="61962F2B" w:rsidR="00B67A5F" w:rsidRPr="00707A47" w:rsidRDefault="00A30A84" w:rsidP="00826D4C">
      <w:pPr>
        <w:spacing w:line="480" w:lineRule="auto"/>
        <w:ind w:firstLine="720"/>
        <w:jc w:val="both"/>
        <w:outlineLvl w:val="0"/>
        <w:rPr>
          <w:rFonts w:cs="Arial"/>
        </w:rPr>
      </w:pPr>
      <w:r w:rsidRPr="00707A47">
        <w:rPr>
          <w:rFonts w:cs="Arial"/>
        </w:rPr>
        <w:t xml:space="preserve">In </w:t>
      </w:r>
      <w:r w:rsidR="009418CF" w:rsidRPr="00707A47">
        <w:rPr>
          <w:rFonts w:cs="Arial"/>
        </w:rPr>
        <w:t>his</w:t>
      </w:r>
      <w:r w:rsidRPr="00707A47">
        <w:rPr>
          <w:rFonts w:cs="Arial"/>
        </w:rPr>
        <w:t xml:space="preserve"> </w:t>
      </w:r>
      <w:r w:rsidR="00774A14">
        <w:rPr>
          <w:rFonts w:cs="Arial"/>
        </w:rPr>
        <w:t xml:space="preserve">2017 </w:t>
      </w:r>
      <w:r w:rsidRPr="00707A47">
        <w:rPr>
          <w:rFonts w:cs="Arial"/>
        </w:rPr>
        <w:t xml:space="preserve">motion to dismiss, </w:t>
      </w:r>
      <w:r w:rsidR="00282A95">
        <w:rPr>
          <w:rFonts w:cs="Arial"/>
        </w:rPr>
        <w:t>Fathi</w:t>
      </w:r>
      <w:r w:rsidRPr="00707A47">
        <w:rPr>
          <w:rFonts w:cs="Arial"/>
        </w:rPr>
        <w:t xml:space="preserve"> argues</w:t>
      </w:r>
      <w:r w:rsidR="00B67A5F" w:rsidRPr="00707A47">
        <w:rPr>
          <w:rFonts w:cs="Arial"/>
        </w:rPr>
        <w:t>, at 2,</w:t>
      </w:r>
      <w:r w:rsidRPr="00707A47">
        <w:rPr>
          <w:rFonts w:cs="Arial"/>
        </w:rPr>
        <w:t xml:space="preserve"> that the SOL </w:t>
      </w:r>
      <w:r w:rsidR="00B67A5F" w:rsidRPr="00707A47">
        <w:rPr>
          <w:rFonts w:cs="Arial"/>
        </w:rPr>
        <w:t>ran long before this litigation began</w:t>
      </w:r>
      <w:r w:rsidR="00774A14">
        <w:rPr>
          <w:rFonts w:cs="Arial"/>
        </w:rPr>
        <w:t>—it was “complete in 1997.”</w:t>
      </w:r>
    </w:p>
    <w:p w14:paraId="0407FC4E" w14:textId="12D3D137" w:rsidR="00B67A5F" w:rsidRPr="00707A47" w:rsidRDefault="00B67A5F" w:rsidP="00826D4C">
      <w:pPr>
        <w:autoSpaceDE w:val="0"/>
        <w:autoSpaceDN w:val="0"/>
        <w:adjustRightInd w:val="0"/>
        <w:ind w:left="720" w:right="720"/>
        <w:jc w:val="both"/>
        <w:outlineLvl w:val="0"/>
        <w:rPr>
          <w:rFonts w:eastAsiaTheme="minorHAnsi" w:cs="Arial"/>
          <w:color w:val="3C3C3C"/>
        </w:rPr>
      </w:pPr>
      <w:r w:rsidRPr="00707A47">
        <w:rPr>
          <w:rFonts w:eastAsiaTheme="minorHAnsi" w:cs="Arial"/>
          <w:color w:val="3C3C3C"/>
        </w:rPr>
        <w:t xml:space="preserve">Plaintiff has failed to plead a viable CICO conspiracy claim </w:t>
      </w:r>
      <w:r w:rsidRPr="00707A47">
        <w:rPr>
          <w:rFonts w:eastAsiaTheme="minorHAnsi" w:cs="Arial"/>
          <w:color w:val="4C4C4C"/>
        </w:rPr>
        <w:t xml:space="preserve">given </w:t>
      </w:r>
      <w:r w:rsidRPr="00707A47">
        <w:rPr>
          <w:rFonts w:eastAsiaTheme="minorHAnsi" w:cs="Arial"/>
          <w:color w:val="3C3C3C"/>
        </w:rPr>
        <w:t xml:space="preserve">that the </w:t>
      </w:r>
      <w:r w:rsidRPr="00707A47">
        <w:rPr>
          <w:rFonts w:eastAsiaTheme="minorHAnsi" w:cs="Arial"/>
          <w:color w:val="4C4C4C"/>
        </w:rPr>
        <w:t>a</w:t>
      </w:r>
      <w:r w:rsidRPr="00707A47">
        <w:rPr>
          <w:rFonts w:eastAsiaTheme="minorHAnsi" w:cs="Arial"/>
          <w:color w:val="252525"/>
        </w:rPr>
        <w:t>ll</w:t>
      </w:r>
      <w:r w:rsidRPr="00707A47">
        <w:rPr>
          <w:rFonts w:eastAsiaTheme="minorHAnsi" w:cs="Arial"/>
          <w:color w:val="4C4C4C"/>
        </w:rPr>
        <w:t xml:space="preserve">eged </w:t>
      </w:r>
      <w:r w:rsidRPr="00707A47">
        <w:rPr>
          <w:rFonts w:eastAsiaTheme="minorHAnsi" w:cs="Arial"/>
          <w:color w:val="3C3C3C"/>
        </w:rPr>
        <w:t xml:space="preserve">conspiracy was complete in 1997 when the alleged </w:t>
      </w:r>
      <w:r w:rsidRPr="00707A47">
        <w:rPr>
          <w:rFonts w:eastAsiaTheme="minorHAnsi" w:cs="Arial"/>
          <w:color w:val="4C4C4C"/>
        </w:rPr>
        <w:t xml:space="preserve">"sham </w:t>
      </w:r>
      <w:r w:rsidRPr="00707A47">
        <w:rPr>
          <w:rFonts w:eastAsiaTheme="minorHAnsi" w:cs="Arial"/>
          <w:color w:val="3C3C3C"/>
        </w:rPr>
        <w:t xml:space="preserve">mortgage" </w:t>
      </w:r>
      <w:r w:rsidRPr="00707A47">
        <w:rPr>
          <w:rFonts w:eastAsiaTheme="minorHAnsi" w:cs="Arial"/>
          <w:color w:val="4C4C4C"/>
        </w:rPr>
        <w:t xml:space="preserve">was given </w:t>
      </w:r>
      <w:r w:rsidRPr="00707A47">
        <w:rPr>
          <w:rFonts w:eastAsiaTheme="minorHAnsi" w:cs="Arial"/>
          <w:color w:val="3C3C3C"/>
        </w:rPr>
        <w:t xml:space="preserve">by </w:t>
      </w:r>
      <w:r w:rsidRPr="00707A47">
        <w:rPr>
          <w:rFonts w:eastAsiaTheme="minorHAnsi" w:cs="Arial"/>
          <w:color w:val="4C4C4C"/>
        </w:rPr>
        <w:t xml:space="preserve">Sixteen </w:t>
      </w:r>
      <w:r w:rsidRPr="00707A47">
        <w:rPr>
          <w:rFonts w:eastAsiaTheme="minorHAnsi" w:cs="Arial"/>
          <w:color w:val="3C3C3C"/>
        </w:rPr>
        <w:t>Plus.</w:t>
      </w:r>
    </w:p>
    <w:p w14:paraId="630DEF9D" w14:textId="2F3E382F" w:rsidR="00B67A5F" w:rsidRPr="00707A47" w:rsidRDefault="00B67A5F" w:rsidP="00826D4C">
      <w:pPr>
        <w:autoSpaceDE w:val="0"/>
        <w:autoSpaceDN w:val="0"/>
        <w:adjustRightInd w:val="0"/>
        <w:jc w:val="both"/>
        <w:outlineLvl w:val="0"/>
        <w:rPr>
          <w:rFonts w:cs="Arial"/>
        </w:rPr>
      </w:pPr>
    </w:p>
    <w:p w14:paraId="3A1FCB22" w14:textId="612A24E8" w:rsidR="00224EB5" w:rsidRDefault="00B67A5F" w:rsidP="00000BF6">
      <w:pPr>
        <w:spacing w:line="480" w:lineRule="auto"/>
        <w:jc w:val="both"/>
        <w:outlineLvl w:val="0"/>
        <w:rPr>
          <w:rFonts w:cs="Arial"/>
        </w:rPr>
      </w:pPr>
      <w:r w:rsidRPr="00707A47">
        <w:rPr>
          <w:rFonts w:cs="Arial"/>
        </w:rPr>
        <w:t xml:space="preserve">Hamed </w:t>
      </w:r>
      <w:r w:rsidR="00224EB5">
        <w:rPr>
          <w:rFonts w:cs="Arial"/>
        </w:rPr>
        <w:t>noted</w:t>
      </w:r>
      <w:r w:rsidRPr="00707A47">
        <w:rPr>
          <w:rFonts w:cs="Arial"/>
        </w:rPr>
        <w:t xml:space="preserve"> </w:t>
      </w:r>
      <w:r w:rsidR="00EC7B01">
        <w:rPr>
          <w:rFonts w:cs="Arial"/>
        </w:rPr>
        <w:t xml:space="preserve">then </w:t>
      </w:r>
      <w:r w:rsidRPr="00707A47">
        <w:rPr>
          <w:rFonts w:cs="Arial"/>
        </w:rPr>
        <w:t xml:space="preserve">that he was not pursuing the original </w:t>
      </w:r>
      <w:r w:rsidR="009E1A1B" w:rsidRPr="00707A47">
        <w:rPr>
          <w:rFonts w:cs="Arial"/>
        </w:rPr>
        <w:t xml:space="preserve">1997 </w:t>
      </w:r>
      <w:r w:rsidRPr="00707A47">
        <w:rPr>
          <w:rFonts w:cs="Arial"/>
        </w:rPr>
        <w:t>creation of a sham note and mortgage</w:t>
      </w:r>
      <w:r w:rsidR="00774A14">
        <w:rPr>
          <w:rFonts w:cs="Arial"/>
        </w:rPr>
        <w:t xml:space="preserve"> here</w:t>
      </w:r>
      <w:r w:rsidRPr="00707A47">
        <w:rPr>
          <w:rFonts w:cs="Arial"/>
        </w:rPr>
        <w:t xml:space="preserve">, but rather </w:t>
      </w:r>
      <w:r w:rsidR="00E72B67" w:rsidRPr="00E72B67">
        <w:rPr>
          <w:rFonts w:cs="Arial"/>
          <w:i/>
          <w:iCs/>
          <w:u w:val="single"/>
        </w:rPr>
        <w:t>new acts</w:t>
      </w:r>
      <w:r w:rsidR="00E72B67">
        <w:rPr>
          <w:rFonts w:cs="Arial"/>
        </w:rPr>
        <w:t xml:space="preserve"> </w:t>
      </w:r>
      <w:r w:rsidR="00EC7B01">
        <w:rPr>
          <w:rFonts w:cs="Arial"/>
        </w:rPr>
        <w:t xml:space="preserve">in </w:t>
      </w:r>
      <w:r w:rsidR="00E72B67">
        <w:rPr>
          <w:rFonts w:cs="Arial"/>
        </w:rPr>
        <w:t xml:space="preserve">which </w:t>
      </w:r>
      <w:r w:rsidR="00EC7B01">
        <w:rPr>
          <w:rFonts w:cs="Arial"/>
        </w:rPr>
        <w:t>defendants used</w:t>
      </w:r>
      <w:r w:rsidR="00DD3E4D">
        <w:rPr>
          <w:rFonts w:cs="Arial"/>
        </w:rPr>
        <w:t>, within the SOL,</w:t>
      </w:r>
      <w:r w:rsidRPr="00707A47">
        <w:rPr>
          <w:rFonts w:cs="Arial"/>
        </w:rPr>
        <w:t xml:space="preserve"> </w:t>
      </w:r>
      <w:r w:rsidR="009E1A1B" w:rsidRPr="00707A47">
        <w:rPr>
          <w:rFonts w:cs="Arial"/>
        </w:rPr>
        <w:t xml:space="preserve">documents </w:t>
      </w:r>
      <w:r w:rsidR="007E07FF" w:rsidRPr="00707A47">
        <w:rPr>
          <w:rFonts w:cs="Arial"/>
        </w:rPr>
        <w:t xml:space="preserve">known </w:t>
      </w:r>
      <w:r w:rsidR="00774A14">
        <w:rPr>
          <w:rFonts w:cs="Arial"/>
        </w:rPr>
        <w:t>by the</w:t>
      </w:r>
      <w:r w:rsidR="00EC7B01">
        <w:rPr>
          <w:rFonts w:cs="Arial"/>
        </w:rPr>
        <w:t>m</w:t>
      </w:r>
      <w:r w:rsidR="00774A14">
        <w:rPr>
          <w:rFonts w:cs="Arial"/>
        </w:rPr>
        <w:t xml:space="preserve"> </w:t>
      </w:r>
      <w:r w:rsidR="007E07FF" w:rsidRPr="00707A47">
        <w:rPr>
          <w:rFonts w:cs="Arial"/>
        </w:rPr>
        <w:t>to be false</w:t>
      </w:r>
      <w:r w:rsidR="0096577B">
        <w:rPr>
          <w:rFonts w:cs="Arial"/>
        </w:rPr>
        <w:t>—</w:t>
      </w:r>
      <w:r w:rsidRPr="00707A47">
        <w:rPr>
          <w:rFonts w:cs="Arial"/>
        </w:rPr>
        <w:t>to commit a new series of illegal and tortious acts</w:t>
      </w:r>
      <w:r w:rsidR="007E07FF" w:rsidRPr="00707A47">
        <w:rPr>
          <w:rFonts w:cs="Arial"/>
        </w:rPr>
        <w:t xml:space="preserve"> intended to defraud</w:t>
      </w:r>
      <w:r w:rsidR="00DD3E4D">
        <w:rPr>
          <w:rFonts w:cs="Arial"/>
        </w:rPr>
        <w:t xml:space="preserve">, </w:t>
      </w:r>
      <w:r w:rsidR="00D51274">
        <w:rPr>
          <w:rFonts w:cs="Arial"/>
        </w:rPr>
        <w:t>steal from</w:t>
      </w:r>
      <w:r w:rsidR="007E07FF" w:rsidRPr="00707A47">
        <w:rPr>
          <w:rFonts w:cs="Arial"/>
        </w:rPr>
        <w:t xml:space="preserve"> </w:t>
      </w:r>
      <w:r w:rsidR="00DD3E4D">
        <w:rPr>
          <w:rFonts w:cs="Arial"/>
        </w:rPr>
        <w:t xml:space="preserve">and bankrupt </w:t>
      </w:r>
      <w:r w:rsidR="007E07FF" w:rsidRPr="00707A47">
        <w:rPr>
          <w:rFonts w:cs="Arial"/>
        </w:rPr>
        <w:t>Sixteen Plus</w:t>
      </w:r>
      <w:r w:rsidRPr="00707A47">
        <w:rPr>
          <w:rFonts w:cs="Arial"/>
        </w:rPr>
        <w:t xml:space="preserve">. </w:t>
      </w:r>
      <w:r w:rsidR="00224EB5">
        <w:rPr>
          <w:rFonts w:cs="Arial"/>
        </w:rPr>
        <w:t>The origination of the documents is irrelevant</w:t>
      </w:r>
      <w:r w:rsidR="00EC7B01">
        <w:rPr>
          <w:rFonts w:cs="Arial"/>
        </w:rPr>
        <w:t xml:space="preserve"> to the SOL</w:t>
      </w:r>
      <w:r w:rsidR="00224EB5">
        <w:rPr>
          <w:rFonts w:cs="Arial"/>
        </w:rPr>
        <w:t xml:space="preserve">. </w:t>
      </w:r>
      <w:r w:rsidR="00F06095">
        <w:rPr>
          <w:rFonts w:cs="Arial"/>
        </w:rPr>
        <w:t>Th</w:t>
      </w:r>
      <w:r w:rsidR="00774A14">
        <w:rPr>
          <w:rFonts w:cs="Arial"/>
        </w:rPr>
        <w:t xml:space="preserve">e documents being used for </w:t>
      </w:r>
      <w:r w:rsidR="00224EB5">
        <w:rPr>
          <w:rFonts w:cs="Arial"/>
        </w:rPr>
        <w:t xml:space="preserve">the CICO conspiracy </w:t>
      </w:r>
      <w:r w:rsidR="00D51274">
        <w:rPr>
          <w:rFonts w:cs="Arial"/>
        </w:rPr>
        <w:t xml:space="preserve">from 2015 to the present </w:t>
      </w:r>
      <w:r w:rsidR="00F06095">
        <w:rPr>
          <w:rFonts w:cs="Arial"/>
        </w:rPr>
        <w:t xml:space="preserve">could be </w:t>
      </w:r>
      <w:r w:rsidR="00F06095" w:rsidRPr="00D51274">
        <w:rPr>
          <w:rFonts w:cs="Arial"/>
          <w:i/>
          <w:iCs/>
        </w:rPr>
        <w:t>any</w:t>
      </w:r>
      <w:r w:rsidR="00F06095">
        <w:rPr>
          <w:rFonts w:cs="Arial"/>
        </w:rPr>
        <w:t xml:space="preserve"> documents</w:t>
      </w:r>
      <w:r w:rsidR="003833E1">
        <w:rPr>
          <w:rFonts w:cs="Arial"/>
        </w:rPr>
        <w:t>—</w:t>
      </w:r>
      <w:r w:rsidR="00D51274">
        <w:rPr>
          <w:rFonts w:cs="Arial"/>
        </w:rPr>
        <w:t xml:space="preserve">of </w:t>
      </w:r>
      <w:r w:rsidR="00D51274" w:rsidRPr="00E72B67">
        <w:rPr>
          <w:rFonts w:cs="Arial"/>
          <w:i/>
          <w:iCs/>
        </w:rPr>
        <w:t>any</w:t>
      </w:r>
      <w:r w:rsidR="00D51274">
        <w:rPr>
          <w:rFonts w:cs="Arial"/>
        </w:rPr>
        <w:t xml:space="preserve"> date, </w:t>
      </w:r>
      <w:r w:rsidR="00E72B67">
        <w:rPr>
          <w:rFonts w:cs="Arial"/>
        </w:rPr>
        <w:t>of</w:t>
      </w:r>
      <w:r w:rsidR="00F06095">
        <w:rPr>
          <w:rFonts w:cs="Arial"/>
        </w:rPr>
        <w:t xml:space="preserve"> </w:t>
      </w:r>
      <w:r w:rsidR="00F06095" w:rsidRPr="00D51274">
        <w:rPr>
          <w:rFonts w:cs="Arial"/>
          <w:i/>
          <w:iCs/>
        </w:rPr>
        <w:t>any</w:t>
      </w:r>
      <w:r w:rsidR="00F06095">
        <w:rPr>
          <w:rFonts w:cs="Arial"/>
        </w:rPr>
        <w:t xml:space="preserve"> origin</w:t>
      </w:r>
      <w:r w:rsidR="00BA3449">
        <w:rPr>
          <w:rFonts w:cs="Arial"/>
        </w:rPr>
        <w:t xml:space="preserve">—so long as the defendants knew them to contain false information </w:t>
      </w:r>
      <w:r w:rsidR="00BA3449" w:rsidRPr="003833E1">
        <w:rPr>
          <w:rFonts w:cs="Arial"/>
          <w:i/>
          <w:iCs/>
        </w:rPr>
        <w:t>when used</w:t>
      </w:r>
      <w:r w:rsidR="00BA3449">
        <w:rPr>
          <w:rFonts w:cs="Arial"/>
        </w:rPr>
        <w:t>.</w:t>
      </w:r>
      <w:r w:rsidR="006474F7">
        <w:rPr>
          <w:rFonts w:cs="Arial"/>
        </w:rPr>
        <w:t xml:space="preserve"> T</w:t>
      </w:r>
      <w:r w:rsidR="00B161D7">
        <w:rPr>
          <w:rFonts w:cs="Arial"/>
        </w:rPr>
        <w:t>hat Fathi</w:t>
      </w:r>
      <w:r w:rsidR="00224EB5">
        <w:rPr>
          <w:rFonts w:cs="Arial"/>
        </w:rPr>
        <w:t xml:space="preserve">, Wally, Isam and </w:t>
      </w:r>
      <w:r w:rsidR="00B161D7">
        <w:rPr>
          <w:rFonts w:cs="Arial"/>
        </w:rPr>
        <w:t xml:space="preserve">Manal created them, or </w:t>
      </w:r>
      <w:r w:rsidR="00E72B67">
        <w:rPr>
          <w:rFonts w:cs="Arial"/>
        </w:rPr>
        <w:t>the dates of creation are</w:t>
      </w:r>
      <w:r w:rsidR="00B161D7">
        <w:rPr>
          <w:rFonts w:cs="Arial"/>
        </w:rPr>
        <w:t xml:space="preserve"> immaterial to </w:t>
      </w:r>
      <w:r w:rsidR="00EC7B01">
        <w:rPr>
          <w:rFonts w:cs="Arial"/>
        </w:rPr>
        <w:t xml:space="preserve">the SOL in </w:t>
      </w:r>
      <w:r w:rsidR="00B161D7">
        <w:rPr>
          <w:rFonts w:cs="Arial"/>
        </w:rPr>
        <w:t xml:space="preserve">this </w:t>
      </w:r>
      <w:r w:rsidR="00D51274">
        <w:rPr>
          <w:rFonts w:cs="Arial"/>
        </w:rPr>
        <w:t xml:space="preserve">action </w:t>
      </w:r>
      <w:r w:rsidR="00224EB5">
        <w:rPr>
          <w:rFonts w:cs="Arial"/>
        </w:rPr>
        <w:t>by Hisham Hamed</w:t>
      </w:r>
      <w:r w:rsidR="00EC7B01">
        <w:rPr>
          <w:rFonts w:cs="Arial"/>
        </w:rPr>
        <w:t xml:space="preserve"> regarding new acts</w:t>
      </w:r>
      <w:r w:rsidR="00B161D7">
        <w:rPr>
          <w:rFonts w:cs="Arial"/>
        </w:rPr>
        <w:t xml:space="preserve">. </w:t>
      </w:r>
      <w:r w:rsidR="009418CF" w:rsidRPr="00707A47">
        <w:rPr>
          <w:rFonts w:cs="Arial"/>
        </w:rPr>
        <w:t xml:space="preserve">Thus, Manal is accused of </w:t>
      </w:r>
      <w:r w:rsidR="009418CF" w:rsidRPr="00707A47">
        <w:rPr>
          <w:rFonts w:cs="Arial"/>
          <w:i/>
          <w:iCs/>
          <w:u w:val="single"/>
        </w:rPr>
        <w:t>presently</w:t>
      </w:r>
      <w:r w:rsidR="009418CF" w:rsidRPr="00707A47">
        <w:rPr>
          <w:rFonts w:cs="Arial"/>
        </w:rPr>
        <w:t xml:space="preserve"> being a co-conspirator in a </w:t>
      </w:r>
      <w:r w:rsidR="007E07FF" w:rsidRPr="00707A47">
        <w:rPr>
          <w:rFonts w:cs="Arial"/>
          <w:i/>
          <w:iCs/>
          <w:u w:val="single"/>
        </w:rPr>
        <w:t>present</w:t>
      </w:r>
      <w:r w:rsidR="007E07FF" w:rsidRPr="00707A47">
        <w:rPr>
          <w:rFonts w:cs="Arial"/>
        </w:rPr>
        <w:t xml:space="preserve"> </w:t>
      </w:r>
      <w:r w:rsidR="009418CF" w:rsidRPr="00707A47">
        <w:rPr>
          <w:rFonts w:cs="Arial"/>
        </w:rPr>
        <w:lastRenderedPageBreak/>
        <w:t xml:space="preserve">conspiracy </w:t>
      </w:r>
      <w:r w:rsidR="00F06095">
        <w:rPr>
          <w:rFonts w:cs="Arial"/>
        </w:rPr>
        <w:t>to use documents that she</w:t>
      </w:r>
      <w:r w:rsidR="00224EB5">
        <w:rPr>
          <w:rFonts w:cs="Arial"/>
        </w:rPr>
        <w:t xml:space="preserve"> and the other CICO conspirators</w:t>
      </w:r>
      <w:r w:rsidR="00F06095">
        <w:rPr>
          <w:rFonts w:cs="Arial"/>
        </w:rPr>
        <w:t xml:space="preserve"> </w:t>
      </w:r>
      <w:r w:rsidR="00F06095" w:rsidRPr="00774A14">
        <w:rPr>
          <w:rFonts w:cs="Arial"/>
          <w:i/>
          <w:iCs/>
          <w:u w:val="single"/>
        </w:rPr>
        <w:t>know</w:t>
      </w:r>
      <w:r w:rsidR="00774A14" w:rsidRPr="00224EB5">
        <w:rPr>
          <w:rStyle w:val="FootnoteReference"/>
          <w:rFonts w:cs="Arial"/>
          <w:i/>
          <w:iCs/>
        </w:rPr>
        <w:footnoteReference w:id="2"/>
      </w:r>
      <w:r w:rsidR="006474F7" w:rsidRPr="00224EB5">
        <w:rPr>
          <w:rFonts w:cs="Arial"/>
        </w:rPr>
        <w:t xml:space="preserve"> </w:t>
      </w:r>
      <w:r w:rsidR="003833E1">
        <w:rPr>
          <w:rFonts w:cs="Arial"/>
        </w:rPr>
        <w:t>(from their historical involvement) f</w:t>
      </w:r>
      <w:r w:rsidR="006474F7">
        <w:rPr>
          <w:rFonts w:cs="Arial"/>
        </w:rPr>
        <w:t xml:space="preserve">alsely </w:t>
      </w:r>
      <w:r w:rsidR="00F06095">
        <w:rPr>
          <w:rFonts w:cs="Arial"/>
        </w:rPr>
        <w:t>recite consideration she never provided</w:t>
      </w:r>
      <w:r w:rsidR="00B161D7">
        <w:rPr>
          <w:rFonts w:cs="Arial"/>
        </w:rPr>
        <w:t xml:space="preserve">. </w:t>
      </w:r>
    </w:p>
    <w:p w14:paraId="381035F7" w14:textId="2B26FC49" w:rsidR="00224EB5" w:rsidRDefault="00224EB5" w:rsidP="00826D4C">
      <w:pPr>
        <w:spacing w:line="480" w:lineRule="auto"/>
        <w:ind w:firstLine="720"/>
        <w:jc w:val="both"/>
        <w:outlineLvl w:val="0"/>
        <w:rPr>
          <w:rFonts w:cs="Arial"/>
        </w:rPr>
      </w:pPr>
      <w:r>
        <w:rPr>
          <w:rFonts w:cs="Arial"/>
        </w:rPr>
        <w:t>Indeed, o</w:t>
      </w:r>
      <w:r w:rsidR="00000BF6">
        <w:rPr>
          <w:rFonts w:cs="Arial"/>
        </w:rPr>
        <w:t>ne of the n</w:t>
      </w:r>
      <w:r w:rsidR="000E5495">
        <w:rPr>
          <w:rFonts w:cs="Arial"/>
        </w:rPr>
        <w:t>ew</w:t>
      </w:r>
      <w:r w:rsidR="007D13FB">
        <w:rPr>
          <w:rFonts w:cs="Arial"/>
        </w:rPr>
        <w:t xml:space="preserve"> (</w:t>
      </w:r>
      <w:r w:rsidR="000E5495">
        <w:rPr>
          <w:rFonts w:cs="Arial"/>
        </w:rPr>
        <w:t>post-FAC</w:t>
      </w:r>
      <w:r w:rsidR="007D13FB">
        <w:rPr>
          <w:rFonts w:cs="Arial"/>
        </w:rPr>
        <w:t>)</w:t>
      </w:r>
      <w:r w:rsidR="000E5495">
        <w:rPr>
          <w:rFonts w:cs="Arial"/>
        </w:rPr>
        <w:t xml:space="preserve"> facts </w:t>
      </w:r>
      <w:r w:rsidR="00000BF6">
        <w:rPr>
          <w:rFonts w:cs="Arial"/>
        </w:rPr>
        <w:t>is</w:t>
      </w:r>
      <w:r w:rsidR="000E5495">
        <w:rPr>
          <w:rFonts w:cs="Arial"/>
        </w:rPr>
        <w:t xml:space="preserve"> that Manal filed her own foreclosure action in 2017</w:t>
      </w:r>
      <w:r>
        <w:rPr>
          <w:rFonts w:cs="Arial"/>
        </w:rPr>
        <w:t xml:space="preserve"> using documents that falsely related that the funds used to buy the land were hers</w:t>
      </w:r>
      <w:r w:rsidR="00BA3449">
        <w:rPr>
          <w:rFonts w:cs="Arial"/>
        </w:rPr>
        <w:t>—</w:t>
      </w:r>
      <w:r w:rsidR="00BA3449" w:rsidRPr="009575C2">
        <w:rPr>
          <w:rFonts w:cs="Arial"/>
          <w:i/>
          <w:iCs/>
        </w:rPr>
        <w:t xml:space="preserve">and </w:t>
      </w:r>
      <w:r w:rsidR="0066667C" w:rsidRPr="009575C2">
        <w:rPr>
          <w:rFonts w:cs="Arial"/>
          <w:i/>
          <w:iCs/>
        </w:rPr>
        <w:t>continues</w:t>
      </w:r>
      <w:r w:rsidR="00BA3449" w:rsidRPr="009575C2">
        <w:rPr>
          <w:rFonts w:cs="Arial"/>
          <w:i/>
          <w:iCs/>
        </w:rPr>
        <w:t xml:space="preserve"> to press th</w:t>
      </w:r>
      <w:r w:rsidR="009575C2" w:rsidRPr="009575C2">
        <w:rPr>
          <w:rFonts w:cs="Arial"/>
          <w:i/>
          <w:iCs/>
        </w:rPr>
        <w:t>e</w:t>
      </w:r>
      <w:r w:rsidR="00BA3449" w:rsidRPr="009575C2">
        <w:rPr>
          <w:rFonts w:cs="Arial"/>
          <w:i/>
          <w:iCs/>
        </w:rPr>
        <w:t xml:space="preserve"> litigation every day</w:t>
      </w:r>
      <w:r w:rsidR="000E5495">
        <w:rPr>
          <w:rFonts w:cs="Arial"/>
        </w:rPr>
        <w:t>.</w:t>
      </w:r>
      <w:r w:rsidR="00000BF6" w:rsidRPr="00000BF6">
        <w:rPr>
          <w:rStyle w:val="FootnoteReference"/>
          <w:rFonts w:cs="Arial"/>
        </w:rPr>
        <w:t xml:space="preserve"> </w:t>
      </w:r>
      <w:r w:rsidR="00000BF6">
        <w:rPr>
          <w:rStyle w:val="FootnoteReference"/>
          <w:rFonts w:cs="Arial"/>
        </w:rPr>
        <w:footnoteReference w:id="3"/>
      </w:r>
      <w:r w:rsidR="000E5495">
        <w:rPr>
          <w:rFonts w:cs="Arial"/>
        </w:rPr>
        <w:t xml:space="preserve"> It is alleged in the Second Amended Complaint (“SAC”) that </w:t>
      </w:r>
      <w:r w:rsidR="00282A95">
        <w:rPr>
          <w:rFonts w:cs="Arial"/>
        </w:rPr>
        <w:t>the present</w:t>
      </w:r>
      <w:r w:rsidR="007D13FB">
        <w:rPr>
          <w:rFonts w:cs="Arial"/>
        </w:rPr>
        <w:t xml:space="preserve">, </w:t>
      </w:r>
      <w:r w:rsidR="007D13FB" w:rsidRPr="007D13FB">
        <w:rPr>
          <w:rFonts w:cs="Arial"/>
          <w:i/>
          <w:iCs/>
          <w:u w:val="single"/>
        </w:rPr>
        <w:t>continuing</w:t>
      </w:r>
      <w:r w:rsidR="00282A95">
        <w:rPr>
          <w:rFonts w:cs="Arial"/>
        </w:rPr>
        <w:t xml:space="preserve"> prosecution </w:t>
      </w:r>
      <w:r w:rsidR="007D13FB">
        <w:rPr>
          <w:rFonts w:cs="Arial"/>
        </w:rPr>
        <w:t xml:space="preserve">of </w:t>
      </w:r>
      <w:r w:rsidR="000E5495">
        <w:rPr>
          <w:rFonts w:cs="Arial"/>
        </w:rPr>
        <w:t xml:space="preserve">this post-FAC </w:t>
      </w:r>
      <w:r w:rsidR="00282A95">
        <w:rPr>
          <w:rFonts w:cs="Arial"/>
        </w:rPr>
        <w:t>litigation</w:t>
      </w:r>
      <w:r w:rsidR="00BA3449">
        <w:rPr>
          <w:rFonts w:cs="Arial"/>
        </w:rPr>
        <w:t xml:space="preserve"> is a</w:t>
      </w:r>
      <w:r w:rsidR="007D13FB">
        <w:rPr>
          <w:rFonts w:cs="Arial"/>
        </w:rPr>
        <w:t xml:space="preserve">n ongoing, </w:t>
      </w:r>
      <w:r w:rsidR="000E5495">
        <w:rPr>
          <w:rFonts w:cs="Arial"/>
        </w:rPr>
        <w:t>central act in furtherance</w:t>
      </w:r>
      <w:r w:rsidR="00BA3449">
        <w:rPr>
          <w:rFonts w:cs="Arial"/>
        </w:rPr>
        <w:t>.</w:t>
      </w:r>
      <w:r w:rsidR="000E5495">
        <w:rPr>
          <w:rFonts w:cs="Arial"/>
        </w:rPr>
        <w:t xml:space="preserve"> </w:t>
      </w:r>
      <w:r w:rsidR="00D70038">
        <w:rPr>
          <w:rFonts w:cs="Arial"/>
        </w:rPr>
        <w:t>As discussed in detail below, e</w:t>
      </w:r>
      <w:r w:rsidR="009418CF" w:rsidRPr="00707A47">
        <w:rPr>
          <w:rFonts w:cs="Arial"/>
        </w:rPr>
        <w:t>very day she</w:t>
      </w:r>
      <w:r w:rsidR="000E5495">
        <w:rPr>
          <w:rFonts w:cs="Arial"/>
        </w:rPr>
        <w:t xml:space="preserve">, with the assistance of </w:t>
      </w:r>
      <w:r>
        <w:rPr>
          <w:rFonts w:cs="Arial"/>
        </w:rPr>
        <w:t>her</w:t>
      </w:r>
      <w:r w:rsidR="000E5495">
        <w:rPr>
          <w:rFonts w:cs="Arial"/>
        </w:rPr>
        <w:t xml:space="preserve"> family members, </w:t>
      </w:r>
      <w:r w:rsidR="00F06095">
        <w:rPr>
          <w:rFonts w:cs="Arial"/>
        </w:rPr>
        <w:t>maintain</w:t>
      </w:r>
      <w:r w:rsidR="000E5495">
        <w:rPr>
          <w:rFonts w:cs="Arial"/>
        </w:rPr>
        <w:t>s th</w:t>
      </w:r>
      <w:r w:rsidR="003833E1">
        <w:rPr>
          <w:rFonts w:cs="Arial"/>
        </w:rPr>
        <w:t>e current</w:t>
      </w:r>
      <w:r w:rsidR="00F06095">
        <w:rPr>
          <w:rFonts w:cs="Arial"/>
        </w:rPr>
        <w:t xml:space="preserve"> legal action </w:t>
      </w:r>
      <w:r w:rsidR="00B161D7">
        <w:rPr>
          <w:rFonts w:cs="Arial"/>
        </w:rPr>
        <w:t xml:space="preserve">and </w:t>
      </w:r>
      <w:r w:rsidR="000E5495">
        <w:rPr>
          <w:rFonts w:cs="Arial"/>
        </w:rPr>
        <w:t xml:space="preserve">they all </w:t>
      </w:r>
      <w:r w:rsidR="00B161D7">
        <w:rPr>
          <w:rFonts w:cs="Arial"/>
        </w:rPr>
        <w:t xml:space="preserve">make </w:t>
      </w:r>
      <w:r w:rsidR="000E5495">
        <w:rPr>
          <w:rFonts w:cs="Arial"/>
        </w:rPr>
        <w:t xml:space="preserve">endless </w:t>
      </w:r>
      <w:r w:rsidR="00B161D7">
        <w:rPr>
          <w:rFonts w:cs="Arial"/>
        </w:rPr>
        <w:t xml:space="preserve">false statements </w:t>
      </w:r>
      <w:r w:rsidR="003833E1">
        <w:rPr>
          <w:rFonts w:cs="Arial"/>
        </w:rPr>
        <w:t>in support</w:t>
      </w:r>
      <w:r w:rsidR="007D13FB">
        <w:rPr>
          <w:rFonts w:cs="Arial"/>
        </w:rPr>
        <w:t>,</w:t>
      </w:r>
      <w:r w:rsidR="009418CF" w:rsidRPr="00707A47">
        <w:rPr>
          <w:rFonts w:cs="Arial"/>
        </w:rPr>
        <w:t xml:space="preserve"> th</w:t>
      </w:r>
      <w:r w:rsidR="003833E1">
        <w:rPr>
          <w:rFonts w:cs="Arial"/>
        </w:rPr>
        <w:t>at</w:t>
      </w:r>
      <w:r w:rsidR="009418CF" w:rsidRPr="00707A47">
        <w:rPr>
          <w:rFonts w:cs="Arial"/>
        </w:rPr>
        <w:t xml:space="preserve"> ongoing conspiracy tolls the SOL</w:t>
      </w:r>
      <w:r w:rsidR="008856E8" w:rsidRPr="00707A47">
        <w:rPr>
          <w:rFonts w:cs="Arial"/>
        </w:rPr>
        <w:t>.</w:t>
      </w:r>
      <w:r w:rsidR="00826D4C" w:rsidRPr="00707A47">
        <w:rPr>
          <w:rStyle w:val="FootnoteReference"/>
          <w:rFonts w:cs="Arial"/>
        </w:rPr>
        <w:footnoteReference w:id="4"/>
      </w:r>
      <w:r w:rsidR="008856E8" w:rsidRPr="00707A47">
        <w:rPr>
          <w:rFonts w:cs="Arial"/>
        </w:rPr>
        <w:t xml:space="preserve"> </w:t>
      </w:r>
      <w:r w:rsidR="000E5495">
        <w:rPr>
          <w:rFonts w:cs="Arial"/>
        </w:rPr>
        <w:t>Thus, i</w:t>
      </w:r>
      <w:r w:rsidR="009418CF" w:rsidRPr="00707A47">
        <w:rPr>
          <w:rFonts w:cs="Arial"/>
        </w:rPr>
        <w:t xml:space="preserve">n addition to the </w:t>
      </w:r>
      <w:r w:rsidR="00DC2DDD">
        <w:rPr>
          <w:rFonts w:cs="Arial"/>
        </w:rPr>
        <w:t xml:space="preserve">original </w:t>
      </w:r>
      <w:r w:rsidR="000E5495">
        <w:rPr>
          <w:rFonts w:cs="Arial"/>
        </w:rPr>
        <w:t xml:space="preserve">criminal and tortious </w:t>
      </w:r>
      <w:r w:rsidR="009418CF" w:rsidRPr="00707A47">
        <w:rPr>
          <w:rFonts w:cs="Arial"/>
        </w:rPr>
        <w:t xml:space="preserve">acts alleged in the </w:t>
      </w:r>
      <w:r w:rsidR="008856E8" w:rsidRPr="00707A47">
        <w:rPr>
          <w:rFonts w:cs="Arial"/>
        </w:rPr>
        <w:t>FAC</w:t>
      </w:r>
      <w:r w:rsidR="009418CF" w:rsidRPr="00707A47">
        <w:rPr>
          <w:rFonts w:cs="Arial"/>
        </w:rPr>
        <w:t xml:space="preserve"> involving mail</w:t>
      </w:r>
      <w:r w:rsidR="007E07FF" w:rsidRPr="00707A47">
        <w:rPr>
          <w:rFonts w:cs="Arial"/>
        </w:rPr>
        <w:t xml:space="preserve"> fraud, </w:t>
      </w:r>
      <w:r w:rsidR="009418CF" w:rsidRPr="00707A47">
        <w:rPr>
          <w:rFonts w:cs="Arial"/>
        </w:rPr>
        <w:t>wire fraud</w:t>
      </w:r>
      <w:r w:rsidR="00B161D7">
        <w:rPr>
          <w:rFonts w:cs="Arial"/>
        </w:rPr>
        <w:t>,</w:t>
      </w:r>
      <w:r w:rsidR="009418CF" w:rsidRPr="00707A47">
        <w:rPr>
          <w:rFonts w:cs="Arial"/>
        </w:rPr>
        <w:t xml:space="preserve"> and other non-litigation acts, </w:t>
      </w:r>
      <w:r w:rsidR="007E07FF" w:rsidRPr="00707A47">
        <w:rPr>
          <w:rFonts w:cs="Arial"/>
        </w:rPr>
        <w:t xml:space="preserve">both the </w:t>
      </w:r>
      <w:r w:rsidR="009575C2">
        <w:rPr>
          <w:rFonts w:cs="Arial"/>
        </w:rPr>
        <w:t>maintenance</w:t>
      </w:r>
      <w:r w:rsidR="007E07FF" w:rsidRPr="00707A47">
        <w:rPr>
          <w:rFonts w:cs="Arial"/>
        </w:rPr>
        <w:t xml:space="preserve"> of th</w:t>
      </w:r>
      <w:r w:rsidR="007D13FB">
        <w:rPr>
          <w:rFonts w:cs="Arial"/>
        </w:rPr>
        <w:t>at</w:t>
      </w:r>
      <w:r w:rsidR="000E5495">
        <w:rPr>
          <w:rFonts w:cs="Arial"/>
        </w:rPr>
        <w:t xml:space="preserve"> </w:t>
      </w:r>
      <w:r w:rsidR="007E07FF" w:rsidRPr="00707A47">
        <w:rPr>
          <w:rFonts w:cs="Arial"/>
        </w:rPr>
        <w:t xml:space="preserve">litigation and </w:t>
      </w:r>
      <w:r w:rsidR="009418CF" w:rsidRPr="00707A47">
        <w:rPr>
          <w:rFonts w:cs="Arial"/>
        </w:rPr>
        <w:t xml:space="preserve">many </w:t>
      </w:r>
      <w:r w:rsidR="007E07FF" w:rsidRPr="00707A47">
        <w:rPr>
          <w:rFonts w:cs="Arial"/>
        </w:rPr>
        <w:t xml:space="preserve">false, </w:t>
      </w:r>
      <w:r w:rsidR="009418CF" w:rsidRPr="00707A47">
        <w:rPr>
          <w:rFonts w:cs="Arial"/>
        </w:rPr>
        <w:t>post-</w:t>
      </w:r>
      <w:r w:rsidR="000E5495">
        <w:rPr>
          <w:rFonts w:cs="Arial"/>
        </w:rPr>
        <w:t>FAC</w:t>
      </w:r>
      <w:r w:rsidR="009418CF" w:rsidRPr="00707A47">
        <w:rPr>
          <w:rFonts w:cs="Arial"/>
        </w:rPr>
        <w:t xml:space="preserve"> </w:t>
      </w:r>
      <w:r w:rsidR="007D13FB">
        <w:rPr>
          <w:rFonts w:cs="Arial"/>
        </w:rPr>
        <w:t>statements</w:t>
      </w:r>
      <w:r w:rsidR="009418CF" w:rsidRPr="00707A47">
        <w:rPr>
          <w:rFonts w:cs="Arial"/>
        </w:rPr>
        <w:t xml:space="preserve"> </w:t>
      </w:r>
      <w:r w:rsidR="00B161D7">
        <w:rPr>
          <w:rFonts w:cs="Arial"/>
        </w:rPr>
        <w:t>(</w:t>
      </w:r>
      <w:r w:rsidR="00227B69">
        <w:rPr>
          <w:rFonts w:cs="Arial"/>
        </w:rPr>
        <w:t xml:space="preserve">both here </w:t>
      </w:r>
      <w:r w:rsidR="009418CF" w:rsidRPr="00707A47">
        <w:rPr>
          <w:rFonts w:cs="Arial"/>
        </w:rPr>
        <w:t xml:space="preserve">and in the companion </w:t>
      </w:r>
      <w:r w:rsidR="003833E1">
        <w:rPr>
          <w:rFonts w:cs="Arial"/>
        </w:rPr>
        <w:t xml:space="preserve">65/342 </w:t>
      </w:r>
      <w:r w:rsidR="009418CF" w:rsidRPr="00707A47">
        <w:rPr>
          <w:rFonts w:cs="Arial"/>
        </w:rPr>
        <w:t>foreclosure action</w:t>
      </w:r>
      <w:r w:rsidR="00B161D7">
        <w:rPr>
          <w:rFonts w:cs="Arial"/>
        </w:rPr>
        <w:t>)</w:t>
      </w:r>
      <w:r w:rsidR="009418CF" w:rsidRPr="00707A47">
        <w:rPr>
          <w:rFonts w:cs="Arial"/>
        </w:rPr>
        <w:t xml:space="preserve"> are </w:t>
      </w:r>
      <w:r w:rsidR="009418CF" w:rsidRPr="000E5495">
        <w:rPr>
          <w:rFonts w:cs="Arial"/>
          <w:i/>
          <w:iCs/>
          <w:u w:val="single"/>
        </w:rPr>
        <w:t>alleged</w:t>
      </w:r>
      <w:r w:rsidR="009418CF" w:rsidRPr="00707A47">
        <w:rPr>
          <w:rFonts w:cs="Arial"/>
        </w:rPr>
        <w:t xml:space="preserve"> to </w:t>
      </w:r>
      <w:r w:rsidR="007E07FF" w:rsidRPr="00707A47">
        <w:rPr>
          <w:rFonts w:cs="Arial"/>
        </w:rPr>
        <w:lastRenderedPageBreak/>
        <w:t xml:space="preserve">be </w:t>
      </w:r>
      <w:r w:rsidR="009418CF" w:rsidRPr="00707A47">
        <w:rPr>
          <w:rFonts w:cs="Arial"/>
        </w:rPr>
        <w:t xml:space="preserve">in furtherance of that conspiracy. </w:t>
      </w:r>
      <w:r w:rsidR="00282A95" w:rsidRPr="00227B69">
        <w:rPr>
          <w:rFonts w:cs="Arial"/>
        </w:rPr>
        <w:t>Such allegations are the province of the plaintiff</w:t>
      </w:r>
      <w:r w:rsidR="003833E1">
        <w:rPr>
          <w:rFonts w:cs="Arial"/>
        </w:rPr>
        <w:t>,</w:t>
      </w:r>
      <w:r w:rsidR="00282A95" w:rsidRPr="00227B69">
        <w:rPr>
          <w:rFonts w:cs="Arial"/>
        </w:rPr>
        <w:t xml:space="preserve"> and </w:t>
      </w:r>
      <w:r w:rsidR="003833E1">
        <w:rPr>
          <w:rFonts w:cs="Arial"/>
        </w:rPr>
        <w:t xml:space="preserve">his well-pleaded averments </w:t>
      </w:r>
      <w:r w:rsidR="00282A95" w:rsidRPr="00227B69">
        <w:rPr>
          <w:rFonts w:cs="Arial"/>
        </w:rPr>
        <w:t>control at this stage of the proceedings</w:t>
      </w:r>
      <w:r w:rsidR="00282A95">
        <w:rPr>
          <w:rFonts w:cs="Arial"/>
        </w:rPr>
        <w:t>.</w:t>
      </w:r>
      <w:r w:rsidR="007D13FB">
        <w:rPr>
          <w:rStyle w:val="FootnoteReference"/>
          <w:rFonts w:cs="Arial"/>
        </w:rPr>
        <w:footnoteReference w:id="5"/>
      </w:r>
      <w:r w:rsidR="00282A95">
        <w:rPr>
          <w:rFonts w:cs="Arial"/>
        </w:rPr>
        <w:t xml:space="preserve"> </w:t>
      </w:r>
      <w:r w:rsidR="001259BB">
        <w:rPr>
          <w:rFonts w:cs="Arial"/>
        </w:rPr>
        <w:t xml:space="preserve">He </w:t>
      </w:r>
      <w:r w:rsidR="001259BB" w:rsidRPr="001259BB">
        <w:rPr>
          <w:rFonts w:cs="Arial"/>
          <w:i/>
          <w:iCs/>
          <w:u w:val="single"/>
        </w:rPr>
        <w:t>alleges</w:t>
      </w:r>
      <w:r w:rsidR="00BC1150" w:rsidRPr="00707A47">
        <w:rPr>
          <w:rFonts w:cs="Arial"/>
        </w:rPr>
        <w:t xml:space="preserve"> </w:t>
      </w:r>
      <w:r w:rsidR="009418CF" w:rsidRPr="00707A47">
        <w:rPr>
          <w:rFonts w:cs="Arial"/>
        </w:rPr>
        <w:t xml:space="preserve">present </w:t>
      </w:r>
      <w:r w:rsidR="007E07FF" w:rsidRPr="00707A47">
        <w:rPr>
          <w:rFonts w:cs="Arial"/>
        </w:rPr>
        <w:t>and continuing acts well within the SOL</w:t>
      </w:r>
      <w:r w:rsidR="00790D8B">
        <w:rPr>
          <w:rFonts w:cs="Arial"/>
        </w:rPr>
        <w:t xml:space="preserve">. </w:t>
      </w:r>
    </w:p>
    <w:p w14:paraId="7468014F" w14:textId="0E57ABE6" w:rsidR="009418CF" w:rsidRPr="00707A47" w:rsidRDefault="00282A95" w:rsidP="00826D4C">
      <w:pPr>
        <w:spacing w:line="480" w:lineRule="auto"/>
        <w:ind w:firstLine="720"/>
        <w:jc w:val="both"/>
        <w:outlineLvl w:val="0"/>
        <w:rPr>
          <w:rFonts w:cs="Arial"/>
        </w:rPr>
      </w:pPr>
      <w:r>
        <w:rPr>
          <w:rFonts w:cs="Arial"/>
        </w:rPr>
        <w:t>Fathi</w:t>
      </w:r>
      <w:r w:rsidR="00227B69">
        <w:rPr>
          <w:rFonts w:cs="Arial"/>
        </w:rPr>
        <w:t>’s opposition</w:t>
      </w:r>
      <w:r w:rsidR="00224EB5">
        <w:rPr>
          <w:rFonts w:cs="Arial"/>
        </w:rPr>
        <w:t xml:space="preserve"> </w:t>
      </w:r>
      <w:r w:rsidR="00630C57">
        <w:rPr>
          <w:rFonts w:cs="Arial"/>
        </w:rPr>
        <w:t>does not discuss the ubiquitous caselaw which demonstrates that n</w:t>
      </w:r>
      <w:r w:rsidR="009418CF" w:rsidRPr="00707A47">
        <w:rPr>
          <w:rFonts w:cs="Arial"/>
        </w:rPr>
        <w:t xml:space="preserve">either </w:t>
      </w:r>
      <w:r w:rsidR="001645A3">
        <w:rPr>
          <w:rFonts w:cs="Arial"/>
        </w:rPr>
        <w:t xml:space="preserve">continuing </w:t>
      </w:r>
      <w:r w:rsidR="009418CF" w:rsidRPr="00707A47">
        <w:rPr>
          <w:rFonts w:cs="Arial"/>
        </w:rPr>
        <w:t xml:space="preserve">litigation in furtherance of a conspiracy nor false discovery responses </w:t>
      </w:r>
      <w:r w:rsidR="001645A3">
        <w:rPr>
          <w:rFonts w:cs="Arial"/>
        </w:rPr>
        <w:t>with</w:t>
      </w:r>
      <w:r w:rsidR="00BC1150" w:rsidRPr="00707A47">
        <w:rPr>
          <w:rFonts w:cs="Arial"/>
        </w:rPr>
        <w:t xml:space="preserve">in such litigation </w:t>
      </w:r>
      <w:r w:rsidR="009418CF" w:rsidRPr="00707A47">
        <w:rPr>
          <w:rFonts w:cs="Arial"/>
        </w:rPr>
        <w:t xml:space="preserve">are exempt from being considered </w:t>
      </w:r>
      <w:r w:rsidR="00BC1150" w:rsidRPr="00707A47">
        <w:rPr>
          <w:rFonts w:cs="Arial"/>
        </w:rPr>
        <w:t xml:space="preserve">continuing </w:t>
      </w:r>
      <w:r w:rsidR="009418CF" w:rsidRPr="00707A47">
        <w:rPr>
          <w:rFonts w:cs="Arial"/>
        </w:rPr>
        <w:t>acts in furtherance of</w:t>
      </w:r>
      <w:r w:rsidR="009418CF" w:rsidRPr="00707A47">
        <w:rPr>
          <w:rFonts w:cs="Arial"/>
          <w:spacing w:val="21"/>
        </w:rPr>
        <w:t xml:space="preserve"> </w:t>
      </w:r>
      <w:r w:rsidR="001645A3">
        <w:rPr>
          <w:rFonts w:cs="Arial"/>
        </w:rPr>
        <w:t>that</w:t>
      </w:r>
      <w:r w:rsidR="009418CF" w:rsidRPr="00707A47">
        <w:rPr>
          <w:rFonts w:cs="Arial"/>
          <w:spacing w:val="22"/>
        </w:rPr>
        <w:t xml:space="preserve"> </w:t>
      </w:r>
      <w:r w:rsidR="009418CF" w:rsidRPr="00707A47">
        <w:rPr>
          <w:rFonts w:cs="Arial"/>
        </w:rPr>
        <w:t>conspiracy.</w:t>
      </w:r>
      <w:r w:rsidR="009418CF" w:rsidRPr="00707A47">
        <w:rPr>
          <w:rFonts w:cs="Arial"/>
          <w:spacing w:val="23"/>
        </w:rPr>
        <w:t xml:space="preserve"> </w:t>
      </w:r>
      <w:r w:rsidR="009418CF" w:rsidRPr="00707A47">
        <w:rPr>
          <w:rFonts w:cs="Arial"/>
          <w:i/>
        </w:rPr>
        <w:t>See</w:t>
      </w:r>
      <w:r w:rsidR="009418CF" w:rsidRPr="00707A47">
        <w:rPr>
          <w:rFonts w:cs="Arial"/>
          <w:i/>
          <w:spacing w:val="20"/>
        </w:rPr>
        <w:t xml:space="preserve"> </w:t>
      </w:r>
      <w:r w:rsidR="009418CF" w:rsidRPr="00707A47">
        <w:rPr>
          <w:rFonts w:cs="Arial"/>
          <w:i/>
        </w:rPr>
        <w:t>e.g.,</w:t>
      </w:r>
      <w:r w:rsidR="009418CF" w:rsidRPr="00707A47">
        <w:rPr>
          <w:rFonts w:cs="Arial"/>
          <w:i/>
          <w:spacing w:val="20"/>
        </w:rPr>
        <w:t xml:space="preserve"> </w:t>
      </w:r>
      <w:r w:rsidR="009418CF" w:rsidRPr="00707A47">
        <w:rPr>
          <w:rFonts w:cs="Arial"/>
          <w:i/>
        </w:rPr>
        <w:t>Burns</w:t>
      </w:r>
      <w:r w:rsidR="009418CF" w:rsidRPr="00707A47">
        <w:rPr>
          <w:rFonts w:cs="Arial"/>
          <w:i/>
          <w:spacing w:val="24"/>
        </w:rPr>
        <w:t xml:space="preserve"> </w:t>
      </w:r>
      <w:r w:rsidR="009418CF" w:rsidRPr="00707A47">
        <w:rPr>
          <w:rFonts w:cs="Arial"/>
          <w:i/>
        </w:rPr>
        <w:t>v.</w:t>
      </w:r>
      <w:r w:rsidR="009418CF" w:rsidRPr="00707A47">
        <w:rPr>
          <w:rFonts w:cs="Arial"/>
          <w:i/>
          <w:spacing w:val="24"/>
        </w:rPr>
        <w:t xml:space="preserve"> </w:t>
      </w:r>
      <w:r w:rsidR="009418CF" w:rsidRPr="00707A47">
        <w:rPr>
          <w:rFonts w:cs="Arial"/>
          <w:i/>
        </w:rPr>
        <w:t>C.R.</w:t>
      </w:r>
      <w:r w:rsidR="009418CF" w:rsidRPr="00707A47">
        <w:rPr>
          <w:rFonts w:cs="Arial"/>
          <w:i/>
          <w:spacing w:val="24"/>
        </w:rPr>
        <w:t xml:space="preserve"> </w:t>
      </w:r>
      <w:r w:rsidR="009418CF" w:rsidRPr="00707A47">
        <w:rPr>
          <w:rFonts w:cs="Arial"/>
          <w:i/>
        </w:rPr>
        <w:t>England,</w:t>
      </w:r>
      <w:r w:rsidR="009418CF" w:rsidRPr="00707A47">
        <w:rPr>
          <w:rFonts w:cs="Arial"/>
          <w:i/>
          <w:spacing w:val="24"/>
        </w:rPr>
        <w:t xml:space="preserve"> </w:t>
      </w:r>
      <w:r w:rsidR="009418CF" w:rsidRPr="00707A47">
        <w:rPr>
          <w:rFonts w:cs="Arial"/>
          <w:i/>
        </w:rPr>
        <w:t>Inc</w:t>
      </w:r>
      <w:r w:rsidR="009418CF" w:rsidRPr="00707A47">
        <w:rPr>
          <w:rFonts w:cs="Arial"/>
        </w:rPr>
        <w:t>.,</w:t>
      </w:r>
      <w:r w:rsidR="009418CF" w:rsidRPr="00707A47">
        <w:rPr>
          <w:rFonts w:cs="Arial"/>
          <w:spacing w:val="28"/>
        </w:rPr>
        <w:t xml:space="preserve"> </w:t>
      </w:r>
      <w:r w:rsidR="009418CF" w:rsidRPr="00707A47">
        <w:rPr>
          <w:rFonts w:cs="Arial"/>
        </w:rPr>
        <w:t>No.</w:t>
      </w:r>
      <w:r w:rsidR="009418CF" w:rsidRPr="00707A47">
        <w:rPr>
          <w:rFonts w:cs="Arial"/>
          <w:spacing w:val="27"/>
        </w:rPr>
        <w:t xml:space="preserve"> </w:t>
      </w:r>
      <w:r w:rsidR="009418CF" w:rsidRPr="00707A47">
        <w:rPr>
          <w:rFonts w:cs="Arial"/>
        </w:rPr>
        <w:t>3:04-cv-304-GPM,</w:t>
      </w:r>
      <w:r w:rsidR="009418CF" w:rsidRPr="00707A47">
        <w:rPr>
          <w:rFonts w:cs="Arial"/>
          <w:spacing w:val="27"/>
        </w:rPr>
        <w:t xml:space="preserve"> </w:t>
      </w:r>
      <w:r w:rsidR="009418CF" w:rsidRPr="00707A47">
        <w:rPr>
          <w:rFonts w:cs="Arial"/>
          <w:spacing w:val="-4"/>
        </w:rPr>
        <w:t>2007</w:t>
      </w:r>
      <w:r w:rsidR="008856E8" w:rsidRPr="00707A47">
        <w:rPr>
          <w:rFonts w:cs="Arial"/>
          <w:spacing w:val="-4"/>
        </w:rPr>
        <w:t xml:space="preserve"> </w:t>
      </w:r>
      <w:r w:rsidR="009418CF" w:rsidRPr="00707A47">
        <w:rPr>
          <w:rFonts w:cs="Arial"/>
        </w:rPr>
        <w:t>U.S.</w:t>
      </w:r>
      <w:r w:rsidR="009418CF" w:rsidRPr="00707A47">
        <w:rPr>
          <w:rFonts w:cs="Arial"/>
          <w:spacing w:val="-5"/>
        </w:rPr>
        <w:t xml:space="preserve"> </w:t>
      </w:r>
      <w:r w:rsidR="009418CF" w:rsidRPr="00707A47">
        <w:rPr>
          <w:rFonts w:cs="Arial"/>
        </w:rPr>
        <w:t>Dist.</w:t>
      </w:r>
      <w:r w:rsidR="009418CF" w:rsidRPr="00707A47">
        <w:rPr>
          <w:rFonts w:cs="Arial"/>
          <w:spacing w:val="-3"/>
        </w:rPr>
        <w:t xml:space="preserve"> </w:t>
      </w:r>
      <w:r w:rsidR="009418CF" w:rsidRPr="00707A47">
        <w:rPr>
          <w:rFonts w:cs="Arial"/>
        </w:rPr>
        <w:t>LEXIS</w:t>
      </w:r>
      <w:r w:rsidR="009418CF" w:rsidRPr="00707A47">
        <w:rPr>
          <w:rFonts w:cs="Arial"/>
          <w:spacing w:val="-3"/>
        </w:rPr>
        <w:t xml:space="preserve"> </w:t>
      </w:r>
      <w:r w:rsidR="009418CF" w:rsidRPr="00707A47">
        <w:rPr>
          <w:rFonts w:cs="Arial"/>
        </w:rPr>
        <w:t>27088,</w:t>
      </w:r>
      <w:r w:rsidR="009418CF" w:rsidRPr="00707A47">
        <w:rPr>
          <w:rFonts w:cs="Arial"/>
          <w:spacing w:val="-3"/>
        </w:rPr>
        <w:t xml:space="preserve"> </w:t>
      </w:r>
      <w:r w:rsidR="009418CF" w:rsidRPr="00707A47">
        <w:rPr>
          <w:rFonts w:cs="Arial"/>
        </w:rPr>
        <w:t>at</w:t>
      </w:r>
      <w:r w:rsidR="009418CF" w:rsidRPr="00707A47">
        <w:rPr>
          <w:rFonts w:cs="Arial"/>
          <w:spacing w:val="-3"/>
        </w:rPr>
        <w:t xml:space="preserve"> </w:t>
      </w:r>
      <w:r w:rsidR="009418CF" w:rsidRPr="00707A47">
        <w:rPr>
          <w:rFonts w:cs="Arial"/>
        </w:rPr>
        <w:t>*6</w:t>
      </w:r>
      <w:r w:rsidR="009418CF" w:rsidRPr="00707A47">
        <w:rPr>
          <w:rFonts w:cs="Arial"/>
          <w:spacing w:val="-3"/>
        </w:rPr>
        <w:t xml:space="preserve"> </w:t>
      </w:r>
      <w:r w:rsidR="009418CF" w:rsidRPr="00707A47">
        <w:rPr>
          <w:rFonts w:cs="Arial"/>
        </w:rPr>
        <w:t>(S.D.</w:t>
      </w:r>
      <w:r w:rsidR="009418CF" w:rsidRPr="00707A47">
        <w:rPr>
          <w:rFonts w:cs="Arial"/>
          <w:spacing w:val="-2"/>
        </w:rPr>
        <w:t xml:space="preserve"> </w:t>
      </w:r>
      <w:r w:rsidR="009418CF" w:rsidRPr="00707A47">
        <w:rPr>
          <w:rFonts w:cs="Arial"/>
        </w:rPr>
        <w:t>Ill.</w:t>
      </w:r>
      <w:r w:rsidR="009418CF" w:rsidRPr="00707A47">
        <w:rPr>
          <w:rFonts w:cs="Arial"/>
          <w:spacing w:val="-2"/>
        </w:rPr>
        <w:t xml:space="preserve"> </w:t>
      </w:r>
      <w:r w:rsidR="009418CF" w:rsidRPr="00707A47">
        <w:rPr>
          <w:rFonts w:cs="Arial"/>
        </w:rPr>
        <w:t>Apr.</w:t>
      </w:r>
      <w:r w:rsidR="009418CF" w:rsidRPr="00707A47">
        <w:rPr>
          <w:rFonts w:cs="Arial"/>
          <w:spacing w:val="-2"/>
        </w:rPr>
        <w:t xml:space="preserve"> </w:t>
      </w:r>
      <w:r w:rsidR="009418CF" w:rsidRPr="00707A47">
        <w:rPr>
          <w:rFonts w:cs="Arial"/>
        </w:rPr>
        <w:t>12,</w:t>
      </w:r>
      <w:r w:rsidR="009418CF" w:rsidRPr="00707A47">
        <w:rPr>
          <w:rFonts w:cs="Arial"/>
          <w:spacing w:val="-3"/>
        </w:rPr>
        <w:t xml:space="preserve"> </w:t>
      </w:r>
      <w:r w:rsidR="009418CF" w:rsidRPr="00707A47">
        <w:rPr>
          <w:rFonts w:cs="Arial"/>
          <w:spacing w:val="-2"/>
        </w:rPr>
        <w:t>2007):</w:t>
      </w:r>
    </w:p>
    <w:p w14:paraId="0D6DD88D" w14:textId="08D53EB3" w:rsidR="009418CF" w:rsidRPr="00707A47" w:rsidRDefault="009418CF" w:rsidP="00826D4C">
      <w:pPr>
        <w:pStyle w:val="BodyText"/>
        <w:widowControl/>
        <w:ind w:left="720" w:right="720"/>
        <w:jc w:val="both"/>
        <w:outlineLvl w:val="0"/>
      </w:pPr>
      <w:r w:rsidRPr="00707A47">
        <w:t>On January 26, 2006, Plaintiffs filed their Motion for Leave to File a</w:t>
      </w:r>
      <w:r w:rsidRPr="00707A47">
        <w:rPr>
          <w:spacing w:val="40"/>
        </w:rPr>
        <w:t xml:space="preserve"> </w:t>
      </w:r>
      <w:r w:rsidRPr="00707A47">
        <w:t>Third Amended Complaint (Doc. 71). This time, Plaintiffs sought "to add additional charging allegations as to the conspiracy counts." (Doc. 71, P 2). On February 23, 2006, the Court granted the motion, finding that the additional claim is related to those made in the Second Amended Complaint</w:t>
      </w:r>
      <w:r w:rsidRPr="00707A47">
        <w:rPr>
          <w:spacing w:val="-5"/>
        </w:rPr>
        <w:t xml:space="preserve"> </w:t>
      </w:r>
      <w:r w:rsidRPr="00707A47">
        <w:t>(Doc.</w:t>
      </w:r>
      <w:r w:rsidRPr="00707A47">
        <w:rPr>
          <w:spacing w:val="-4"/>
        </w:rPr>
        <w:t xml:space="preserve"> </w:t>
      </w:r>
      <w:r w:rsidRPr="00707A47">
        <w:t>72).</w:t>
      </w:r>
      <w:r w:rsidRPr="00707A47">
        <w:rPr>
          <w:spacing w:val="-5"/>
        </w:rPr>
        <w:t xml:space="preserve"> </w:t>
      </w:r>
      <w:r w:rsidRPr="00707A47">
        <w:t>Plaintiffs</w:t>
      </w:r>
      <w:r w:rsidRPr="00707A47">
        <w:rPr>
          <w:spacing w:val="-4"/>
        </w:rPr>
        <w:t xml:space="preserve"> </w:t>
      </w:r>
      <w:r w:rsidRPr="00707A47">
        <w:t>then</w:t>
      </w:r>
      <w:r w:rsidRPr="00707A47">
        <w:rPr>
          <w:spacing w:val="-4"/>
        </w:rPr>
        <w:t xml:space="preserve"> </w:t>
      </w:r>
      <w:r w:rsidRPr="00707A47">
        <w:t>filed</w:t>
      </w:r>
      <w:r w:rsidRPr="00707A47">
        <w:rPr>
          <w:spacing w:val="-4"/>
        </w:rPr>
        <w:t xml:space="preserve"> </w:t>
      </w:r>
      <w:r w:rsidRPr="00707A47">
        <w:t>their</w:t>
      </w:r>
      <w:r w:rsidRPr="00707A47">
        <w:rPr>
          <w:spacing w:val="-4"/>
        </w:rPr>
        <w:t xml:space="preserve"> </w:t>
      </w:r>
      <w:r w:rsidRPr="00707A47">
        <w:t>Third</w:t>
      </w:r>
      <w:r w:rsidRPr="00707A47">
        <w:rPr>
          <w:spacing w:val="-4"/>
        </w:rPr>
        <w:t xml:space="preserve"> </w:t>
      </w:r>
      <w:r w:rsidRPr="00707A47">
        <w:t>Amended</w:t>
      </w:r>
      <w:r w:rsidRPr="00707A47">
        <w:rPr>
          <w:spacing w:val="-4"/>
        </w:rPr>
        <w:t xml:space="preserve"> </w:t>
      </w:r>
      <w:r w:rsidRPr="00707A47">
        <w:t>Complaint, alleging that Defendants, in furtherance of the conspiracy:</w:t>
      </w:r>
    </w:p>
    <w:p w14:paraId="4A1958C3" w14:textId="77777777" w:rsidR="009418CF" w:rsidRPr="00F06095" w:rsidRDefault="009418CF" w:rsidP="00826D4C">
      <w:pPr>
        <w:pStyle w:val="BodyText"/>
        <w:widowControl/>
        <w:ind w:left="720" w:right="720"/>
        <w:jc w:val="both"/>
        <w:outlineLvl w:val="0"/>
        <w:rPr>
          <w:sz w:val="12"/>
          <w:szCs w:val="12"/>
        </w:rPr>
      </w:pPr>
    </w:p>
    <w:p w14:paraId="496F0BE1" w14:textId="77777777" w:rsidR="009418CF" w:rsidRPr="00707A47" w:rsidRDefault="009418CF" w:rsidP="00826D4C">
      <w:pPr>
        <w:ind w:left="1440" w:right="720"/>
        <w:jc w:val="both"/>
        <w:outlineLvl w:val="0"/>
        <w:rPr>
          <w:rFonts w:cs="Arial"/>
          <w:bCs/>
        </w:rPr>
      </w:pPr>
      <w:r w:rsidRPr="00707A47">
        <w:rPr>
          <w:rFonts w:cs="Arial"/>
          <w:bCs/>
        </w:rPr>
        <w:t>Filed a false sworn answer to an interrogatory asserting Leonard Ray Karnes had "slept 8 hours or greater in Effingham, Illinois" when they knew such answer was false and fraudulent as evidenced by the vehicles Qualcomm software program, information they had in their possession when the answer was filed, but withheld from plaintiffs.</w:t>
      </w:r>
    </w:p>
    <w:p w14:paraId="442784D0" w14:textId="77777777" w:rsidR="009418CF" w:rsidRPr="00F06095" w:rsidRDefault="009418CF" w:rsidP="00826D4C">
      <w:pPr>
        <w:pStyle w:val="BodyText"/>
        <w:widowControl/>
        <w:ind w:left="720" w:right="720"/>
        <w:jc w:val="both"/>
        <w:outlineLvl w:val="0"/>
        <w:rPr>
          <w:sz w:val="12"/>
          <w:szCs w:val="12"/>
        </w:rPr>
      </w:pPr>
    </w:p>
    <w:p w14:paraId="28157EA9" w14:textId="40AC0C6A" w:rsidR="009418CF" w:rsidRPr="00707A47" w:rsidRDefault="009418CF" w:rsidP="00826D4C">
      <w:pPr>
        <w:pStyle w:val="BodyText"/>
        <w:widowControl/>
        <w:ind w:left="720" w:right="720"/>
        <w:jc w:val="both"/>
        <w:outlineLvl w:val="0"/>
      </w:pPr>
      <w:r w:rsidRPr="00707A47">
        <w:t>(Doc. 73). Both Defendants answered the Third Amended Complaint on March 20, 2006 (Doc. 76, 77). On June 23, 2006, the District Court then set</w:t>
      </w:r>
      <w:r w:rsidRPr="00707A47">
        <w:rPr>
          <w:spacing w:val="7"/>
        </w:rPr>
        <w:t xml:space="preserve"> </w:t>
      </w:r>
      <w:r w:rsidRPr="00707A47">
        <w:t>a</w:t>
      </w:r>
      <w:r w:rsidRPr="00707A47">
        <w:rPr>
          <w:spacing w:val="8"/>
        </w:rPr>
        <w:t xml:space="preserve"> </w:t>
      </w:r>
      <w:r w:rsidRPr="00707A47">
        <w:t>final</w:t>
      </w:r>
      <w:r w:rsidRPr="00707A47">
        <w:rPr>
          <w:spacing w:val="7"/>
        </w:rPr>
        <w:t xml:space="preserve"> </w:t>
      </w:r>
      <w:r w:rsidRPr="00707A47">
        <w:t>pretrial</w:t>
      </w:r>
      <w:r w:rsidRPr="00707A47">
        <w:rPr>
          <w:spacing w:val="8"/>
        </w:rPr>
        <w:t xml:space="preserve"> </w:t>
      </w:r>
      <w:r w:rsidRPr="00707A47">
        <w:t>conference</w:t>
      </w:r>
      <w:r w:rsidRPr="00707A47">
        <w:rPr>
          <w:spacing w:val="8"/>
        </w:rPr>
        <w:t xml:space="preserve"> </w:t>
      </w:r>
      <w:r w:rsidRPr="00707A47">
        <w:t>for</w:t>
      </w:r>
      <w:r w:rsidRPr="00707A47">
        <w:rPr>
          <w:spacing w:val="7"/>
        </w:rPr>
        <w:t xml:space="preserve"> </w:t>
      </w:r>
      <w:r w:rsidRPr="00707A47">
        <w:t>August</w:t>
      </w:r>
      <w:r w:rsidRPr="00707A47">
        <w:rPr>
          <w:spacing w:val="8"/>
        </w:rPr>
        <w:t xml:space="preserve"> </w:t>
      </w:r>
      <w:r w:rsidRPr="00707A47">
        <w:t>14,</w:t>
      </w:r>
      <w:r w:rsidRPr="00707A47">
        <w:rPr>
          <w:spacing w:val="8"/>
        </w:rPr>
        <w:t xml:space="preserve"> </w:t>
      </w:r>
      <w:r w:rsidRPr="00707A47">
        <w:t>2006</w:t>
      </w:r>
      <w:r w:rsidRPr="00707A47">
        <w:rPr>
          <w:spacing w:val="7"/>
        </w:rPr>
        <w:t xml:space="preserve"> </w:t>
      </w:r>
      <w:r w:rsidRPr="00707A47">
        <w:t>(Doc.</w:t>
      </w:r>
      <w:r w:rsidRPr="00707A47">
        <w:rPr>
          <w:spacing w:val="8"/>
        </w:rPr>
        <w:t xml:space="preserve"> </w:t>
      </w:r>
      <w:r w:rsidRPr="00707A47">
        <w:t>86).</w:t>
      </w:r>
      <w:r w:rsidRPr="00707A47">
        <w:rPr>
          <w:spacing w:val="8"/>
        </w:rPr>
        <w:t xml:space="preserve"> </w:t>
      </w:r>
      <w:r w:rsidRPr="00707A47">
        <w:rPr>
          <w:spacing w:val="-2"/>
        </w:rPr>
        <w:t>(Emphasis</w:t>
      </w:r>
      <w:r w:rsidR="008856E8" w:rsidRPr="00707A47">
        <w:rPr>
          <w:spacing w:val="-2"/>
        </w:rPr>
        <w:t xml:space="preserve"> </w:t>
      </w:r>
      <w:r w:rsidRPr="00707A47">
        <w:rPr>
          <w:spacing w:val="-2"/>
        </w:rPr>
        <w:t>added.)</w:t>
      </w:r>
    </w:p>
    <w:p w14:paraId="5BA8CE98" w14:textId="314BF305" w:rsidR="009418CF" w:rsidRPr="00707A47" w:rsidRDefault="009418CF" w:rsidP="00826D4C">
      <w:pPr>
        <w:pStyle w:val="BodyText"/>
        <w:spacing w:before="6"/>
      </w:pPr>
    </w:p>
    <w:p w14:paraId="1FE8FC19" w14:textId="63D9097D" w:rsidR="007E07FF" w:rsidRPr="00707A47" w:rsidRDefault="009418CF" w:rsidP="00826D4C">
      <w:pPr>
        <w:spacing w:line="480" w:lineRule="auto"/>
        <w:jc w:val="both"/>
        <w:rPr>
          <w:rFonts w:cs="Arial"/>
        </w:rPr>
      </w:pPr>
      <w:r w:rsidRPr="00707A47">
        <w:rPr>
          <w:rFonts w:cs="Arial"/>
          <w:i/>
        </w:rPr>
        <w:t>See</w:t>
      </w:r>
      <w:r w:rsidRPr="00707A47">
        <w:rPr>
          <w:rFonts w:cs="Arial"/>
          <w:i/>
          <w:spacing w:val="-3"/>
        </w:rPr>
        <w:t xml:space="preserve"> </w:t>
      </w:r>
      <w:r w:rsidRPr="00707A47">
        <w:rPr>
          <w:rFonts w:cs="Arial"/>
          <w:i/>
        </w:rPr>
        <w:t>also</w:t>
      </w:r>
      <w:r w:rsidRPr="00707A47">
        <w:rPr>
          <w:rFonts w:cs="Arial"/>
          <w:i/>
          <w:spacing w:val="-4"/>
        </w:rPr>
        <w:t xml:space="preserve"> </w:t>
      </w:r>
      <w:r w:rsidRPr="00707A47">
        <w:rPr>
          <w:rFonts w:cs="Arial"/>
          <w:i/>
        </w:rPr>
        <w:t>Correia</w:t>
      </w:r>
      <w:r w:rsidRPr="00707A47">
        <w:rPr>
          <w:rFonts w:cs="Arial"/>
          <w:i/>
          <w:spacing w:val="-4"/>
        </w:rPr>
        <w:t xml:space="preserve"> </w:t>
      </w:r>
      <w:r w:rsidRPr="00707A47">
        <w:rPr>
          <w:rFonts w:cs="Arial"/>
          <w:i/>
        </w:rPr>
        <w:t>v.</w:t>
      </w:r>
      <w:r w:rsidRPr="00707A47">
        <w:rPr>
          <w:rFonts w:cs="Arial"/>
          <w:i/>
          <w:spacing w:val="-3"/>
        </w:rPr>
        <w:t xml:space="preserve"> </w:t>
      </w:r>
      <w:r w:rsidRPr="00707A47">
        <w:rPr>
          <w:rFonts w:cs="Arial"/>
          <w:i/>
        </w:rPr>
        <w:t>Town</w:t>
      </w:r>
      <w:r w:rsidRPr="00707A47">
        <w:rPr>
          <w:rFonts w:cs="Arial"/>
          <w:i/>
          <w:spacing w:val="-3"/>
        </w:rPr>
        <w:t xml:space="preserve"> </w:t>
      </w:r>
      <w:r w:rsidRPr="00707A47">
        <w:rPr>
          <w:rFonts w:cs="Arial"/>
          <w:i/>
        </w:rPr>
        <w:t>of</w:t>
      </w:r>
      <w:r w:rsidRPr="00707A47">
        <w:rPr>
          <w:rFonts w:cs="Arial"/>
          <w:i/>
          <w:spacing w:val="-4"/>
        </w:rPr>
        <w:t xml:space="preserve"> </w:t>
      </w:r>
      <w:r w:rsidRPr="00707A47">
        <w:rPr>
          <w:rFonts w:cs="Arial"/>
          <w:i/>
        </w:rPr>
        <w:t>Framingham</w:t>
      </w:r>
      <w:r w:rsidRPr="00707A47">
        <w:rPr>
          <w:rFonts w:cs="Arial"/>
        </w:rPr>
        <w:t>,</w:t>
      </w:r>
      <w:r w:rsidRPr="00707A47">
        <w:rPr>
          <w:rFonts w:cs="Arial"/>
          <w:spacing w:val="-1"/>
        </w:rPr>
        <w:t xml:space="preserve"> </w:t>
      </w:r>
      <w:r w:rsidRPr="00707A47">
        <w:rPr>
          <w:rFonts w:cs="Arial"/>
        </w:rPr>
        <w:t>No.</w:t>
      </w:r>
      <w:r w:rsidRPr="00707A47">
        <w:rPr>
          <w:rFonts w:cs="Arial"/>
          <w:spacing w:val="-1"/>
        </w:rPr>
        <w:t xml:space="preserve"> </w:t>
      </w:r>
      <w:r w:rsidRPr="00707A47">
        <w:rPr>
          <w:rFonts w:cs="Arial"/>
        </w:rPr>
        <w:t>12-10828-NMG,</w:t>
      </w:r>
      <w:r w:rsidRPr="00707A47">
        <w:rPr>
          <w:rFonts w:cs="Arial"/>
          <w:spacing w:val="-1"/>
        </w:rPr>
        <w:t xml:space="preserve"> </w:t>
      </w:r>
      <w:r w:rsidRPr="00707A47">
        <w:rPr>
          <w:rFonts w:cs="Arial"/>
        </w:rPr>
        <w:t>2013</w:t>
      </w:r>
      <w:r w:rsidRPr="00707A47">
        <w:rPr>
          <w:rFonts w:cs="Arial"/>
          <w:spacing w:val="-1"/>
        </w:rPr>
        <w:t xml:space="preserve"> </w:t>
      </w:r>
      <w:r w:rsidRPr="00707A47">
        <w:rPr>
          <w:rFonts w:cs="Arial"/>
        </w:rPr>
        <w:t>U.S.</w:t>
      </w:r>
      <w:r w:rsidRPr="00707A47">
        <w:rPr>
          <w:rFonts w:cs="Arial"/>
          <w:spacing w:val="-1"/>
        </w:rPr>
        <w:t xml:space="preserve"> </w:t>
      </w:r>
      <w:r w:rsidRPr="00707A47">
        <w:rPr>
          <w:rFonts w:cs="Arial"/>
        </w:rPr>
        <w:t>Dist.</w:t>
      </w:r>
      <w:r w:rsidRPr="00707A47">
        <w:rPr>
          <w:rFonts w:cs="Arial"/>
          <w:spacing w:val="-1"/>
        </w:rPr>
        <w:t xml:space="preserve"> </w:t>
      </w:r>
      <w:r w:rsidRPr="00707A47">
        <w:rPr>
          <w:rFonts w:cs="Arial"/>
        </w:rPr>
        <w:t>LEXIS 116282, at *3-4 (D. Mass. July 24, 2013)</w:t>
      </w:r>
      <w:r w:rsidR="001259BB">
        <w:rPr>
          <w:rFonts w:cs="Arial"/>
        </w:rPr>
        <w:t>:</w:t>
      </w:r>
    </w:p>
    <w:p w14:paraId="12E99941" w14:textId="26A920C4" w:rsidR="007E07FF" w:rsidRPr="00707A47" w:rsidRDefault="009418CF" w:rsidP="007E07FF">
      <w:pPr>
        <w:ind w:left="720" w:right="720"/>
        <w:jc w:val="both"/>
        <w:outlineLvl w:val="0"/>
        <w:rPr>
          <w:rFonts w:cs="Arial"/>
        </w:rPr>
      </w:pPr>
      <w:r w:rsidRPr="00707A47">
        <w:rPr>
          <w:rFonts w:cs="Arial"/>
        </w:rPr>
        <w:t xml:space="preserve">That conspiracy, the plaintiffs suggest, continued during the litigation of this case. The plaintiffs cite </w:t>
      </w:r>
      <w:r w:rsidRPr="00707A47">
        <w:rPr>
          <w:rFonts w:cs="Arial"/>
          <w:bCs/>
        </w:rPr>
        <w:t>an interrogatory response</w:t>
      </w:r>
      <w:r w:rsidRPr="00707A47">
        <w:rPr>
          <w:rFonts w:cs="Arial"/>
        </w:rPr>
        <w:t>, signed by Carl, denying that Brown had asserted his Fifth Amendment rights when questioned about the incident by internal affairs investigators. Doc. No.</w:t>
      </w:r>
      <w:r w:rsidRPr="00707A47">
        <w:rPr>
          <w:rFonts w:cs="Arial"/>
          <w:spacing w:val="40"/>
        </w:rPr>
        <w:t xml:space="preserve"> </w:t>
      </w:r>
      <w:r w:rsidRPr="00707A47">
        <w:rPr>
          <w:rFonts w:cs="Arial"/>
        </w:rPr>
        <w:t xml:space="preserve">52 at 6-7. Pointing to the </w:t>
      </w:r>
      <w:r w:rsidRPr="00707A47">
        <w:rPr>
          <w:rFonts w:cs="Arial"/>
        </w:rPr>
        <w:lastRenderedPageBreak/>
        <w:t>testimony of other police department witnesses that Carl</w:t>
      </w:r>
      <w:r w:rsidRPr="00707A47">
        <w:rPr>
          <w:rFonts w:cs="Arial"/>
          <w:spacing w:val="40"/>
        </w:rPr>
        <w:t xml:space="preserve"> </w:t>
      </w:r>
      <w:r w:rsidRPr="00707A47">
        <w:rPr>
          <w:rFonts w:cs="Arial"/>
        </w:rPr>
        <w:t>was present when Brown did, in fact, assert his right to remain silent (and, further,</w:t>
      </w:r>
      <w:r w:rsidRPr="00707A47">
        <w:rPr>
          <w:rFonts w:cs="Arial"/>
          <w:spacing w:val="40"/>
        </w:rPr>
        <w:t xml:space="preserve"> </w:t>
      </w:r>
      <w:r w:rsidRPr="00707A47">
        <w:rPr>
          <w:rFonts w:cs="Arial"/>
        </w:rPr>
        <w:t>that Carl personally instructed investigators to communicate directly with Brown's attorney), the plaintiffs allege Carl's interrogatory response was a lie intended</w:t>
      </w:r>
      <w:r w:rsidRPr="00707A47">
        <w:rPr>
          <w:rFonts w:cs="Arial"/>
          <w:spacing w:val="80"/>
        </w:rPr>
        <w:t xml:space="preserve"> </w:t>
      </w:r>
      <w:r w:rsidRPr="00707A47">
        <w:rPr>
          <w:rFonts w:cs="Arial"/>
        </w:rPr>
        <w:t>to further the conspiracy to protect Brown</w:t>
      </w:r>
      <w:r w:rsidR="007E07FF" w:rsidRPr="00707A47">
        <w:rPr>
          <w:rFonts w:cs="Arial"/>
        </w:rPr>
        <w:t>.</w:t>
      </w:r>
    </w:p>
    <w:p w14:paraId="760A75B5" w14:textId="647D593B" w:rsidR="009418CF" w:rsidRPr="00707A47" w:rsidRDefault="009418CF" w:rsidP="007E07FF">
      <w:pPr>
        <w:ind w:left="720" w:right="720"/>
        <w:jc w:val="both"/>
        <w:outlineLvl w:val="0"/>
        <w:rPr>
          <w:rFonts w:cs="Arial"/>
        </w:rPr>
      </w:pPr>
    </w:p>
    <w:p w14:paraId="17A6205C" w14:textId="4BF5A4FA" w:rsidR="00826D4C" w:rsidRPr="00707A47" w:rsidRDefault="00630C57" w:rsidP="00826D4C">
      <w:pPr>
        <w:spacing w:line="480" w:lineRule="auto"/>
        <w:ind w:firstLine="720"/>
        <w:jc w:val="both"/>
        <w:rPr>
          <w:rFonts w:cs="Arial"/>
        </w:rPr>
      </w:pPr>
      <w:r>
        <w:rPr>
          <w:rFonts w:cs="Arial"/>
        </w:rPr>
        <w:t xml:space="preserve">Nor does </w:t>
      </w:r>
      <w:r w:rsidR="00282A95">
        <w:rPr>
          <w:rFonts w:cs="Arial"/>
        </w:rPr>
        <w:t>Fathi</w:t>
      </w:r>
      <w:r>
        <w:rPr>
          <w:rFonts w:cs="Arial"/>
        </w:rPr>
        <w:t xml:space="preserve"> address </w:t>
      </w:r>
      <w:r w:rsidR="00790D8B">
        <w:rPr>
          <w:rFonts w:cs="Arial"/>
        </w:rPr>
        <w:t xml:space="preserve">the </w:t>
      </w:r>
      <w:r>
        <w:rPr>
          <w:rFonts w:cs="Arial"/>
        </w:rPr>
        <w:t>historical or other context</w:t>
      </w:r>
      <w:r w:rsidR="00790D8B">
        <w:rPr>
          <w:rFonts w:cs="Arial"/>
        </w:rPr>
        <w:t>s</w:t>
      </w:r>
      <w:r>
        <w:rPr>
          <w:rFonts w:cs="Arial"/>
        </w:rPr>
        <w:t xml:space="preserve"> for his </w:t>
      </w:r>
      <w:r w:rsidRPr="00BA3449">
        <w:rPr>
          <w:rFonts w:cs="Arial"/>
          <w:i/>
          <w:iCs/>
        </w:rPr>
        <w:t>sub voce</w:t>
      </w:r>
      <w:r>
        <w:rPr>
          <w:rFonts w:cs="Arial"/>
        </w:rPr>
        <w:t xml:space="preserve"> proposition that </w:t>
      </w:r>
      <w:r w:rsidR="001259BB">
        <w:rPr>
          <w:rFonts w:cs="Arial"/>
        </w:rPr>
        <w:t xml:space="preserve">maintenance of </w:t>
      </w:r>
      <w:r>
        <w:rPr>
          <w:rFonts w:cs="Arial"/>
        </w:rPr>
        <w:t>litigation should not be considered a component of a conspiracy—or would have no tolling effect by its continuation.</w:t>
      </w:r>
      <w:r w:rsidR="002F0F33">
        <w:rPr>
          <w:rStyle w:val="FootnoteReference"/>
          <w:rFonts w:cs="Arial"/>
        </w:rPr>
        <w:footnoteReference w:id="6"/>
      </w:r>
      <w:r>
        <w:rPr>
          <w:rFonts w:cs="Arial"/>
        </w:rPr>
        <w:t xml:space="preserve"> S</w:t>
      </w:r>
      <w:r w:rsidR="00826D4C" w:rsidRPr="00707A47">
        <w:rPr>
          <w:rFonts w:cs="Arial"/>
        </w:rPr>
        <w:t xml:space="preserve">ince the 1950’s it has been widely accepted that litigation can be a component </w:t>
      </w:r>
      <w:r w:rsidR="007E07FF" w:rsidRPr="00707A47">
        <w:rPr>
          <w:rFonts w:cs="Arial"/>
        </w:rPr>
        <w:t xml:space="preserve">act in </w:t>
      </w:r>
      <w:r w:rsidR="00826D4C" w:rsidRPr="00707A47">
        <w:rPr>
          <w:rFonts w:cs="Arial"/>
        </w:rPr>
        <w:t>a conspiracy—threatening it, bringing it</w:t>
      </w:r>
      <w:r w:rsidR="005F3725">
        <w:rPr>
          <w:rFonts w:cs="Arial"/>
        </w:rPr>
        <w:t xml:space="preserve">, </w:t>
      </w:r>
      <w:r w:rsidR="00F06095" w:rsidRPr="00D70038">
        <w:rPr>
          <w:rFonts w:cs="Arial"/>
          <w:i/>
          <w:iCs/>
          <w:u w:val="single"/>
        </w:rPr>
        <w:t>maintaining</w:t>
      </w:r>
      <w:r w:rsidR="00826D4C" w:rsidRPr="00D70038">
        <w:rPr>
          <w:rFonts w:cs="Arial"/>
          <w:i/>
          <w:iCs/>
          <w:u w:val="single"/>
        </w:rPr>
        <w:t xml:space="preserve"> </w:t>
      </w:r>
      <w:r w:rsidR="00790D8B">
        <w:rPr>
          <w:rFonts w:cs="Arial"/>
          <w:i/>
          <w:iCs/>
          <w:u w:val="single"/>
        </w:rPr>
        <w:t>on a daily basis</w:t>
      </w:r>
      <w:r w:rsidR="00D70038">
        <w:rPr>
          <w:rFonts w:cs="Arial"/>
          <w:i/>
          <w:iCs/>
          <w:u w:val="single"/>
        </w:rPr>
        <w:t xml:space="preserve"> </w:t>
      </w:r>
      <w:r w:rsidR="00826D4C" w:rsidRPr="00D70038">
        <w:rPr>
          <w:rFonts w:cs="Arial"/>
          <w:i/>
          <w:iCs/>
          <w:u w:val="single"/>
        </w:rPr>
        <w:t xml:space="preserve">for the wrongful ends of </w:t>
      </w:r>
      <w:r w:rsidR="007E07FF" w:rsidRPr="00D70038">
        <w:rPr>
          <w:rFonts w:cs="Arial"/>
          <w:i/>
          <w:iCs/>
          <w:u w:val="single"/>
        </w:rPr>
        <w:t>the conspiracy</w:t>
      </w:r>
      <w:r w:rsidR="00826D4C" w:rsidRPr="00707A47">
        <w:rPr>
          <w:rFonts w:cs="Arial"/>
        </w:rPr>
        <w:t xml:space="preserve"> </w:t>
      </w:r>
      <w:r w:rsidR="005F3725">
        <w:rPr>
          <w:rFonts w:cs="Arial"/>
        </w:rPr>
        <w:t xml:space="preserve">and making false statements therein </w:t>
      </w:r>
      <w:r>
        <w:rPr>
          <w:rFonts w:cs="Arial"/>
        </w:rPr>
        <w:lastRenderedPageBreak/>
        <w:t xml:space="preserve">in furtherance of the conspiracy </w:t>
      </w:r>
      <w:r w:rsidR="00826D4C" w:rsidRPr="00707A47">
        <w:rPr>
          <w:rFonts w:cs="Arial"/>
        </w:rPr>
        <w:t xml:space="preserve">have </w:t>
      </w:r>
      <w:r w:rsidR="005F3725">
        <w:rPr>
          <w:rFonts w:cs="Arial"/>
        </w:rPr>
        <w:t xml:space="preserve">all </w:t>
      </w:r>
      <w:r w:rsidR="00826D4C" w:rsidRPr="00707A47">
        <w:rPr>
          <w:rFonts w:cs="Arial"/>
        </w:rPr>
        <w:t xml:space="preserve">been accepted </w:t>
      </w:r>
      <w:r w:rsidR="007E07FF" w:rsidRPr="00707A47">
        <w:rPr>
          <w:rFonts w:cs="Arial"/>
        </w:rPr>
        <w:t xml:space="preserve">as actionable </w:t>
      </w:r>
      <w:r w:rsidR="00826D4C" w:rsidRPr="00707A47">
        <w:rPr>
          <w:rFonts w:cs="Arial"/>
        </w:rPr>
        <w:t xml:space="preserve">ever since the </w:t>
      </w:r>
      <w:r w:rsidR="00826D4C" w:rsidRPr="00707A47">
        <w:rPr>
          <w:rFonts w:cs="Arial"/>
          <w:i/>
          <w:iCs/>
        </w:rPr>
        <w:t>Borax</w:t>
      </w:r>
      <w:r w:rsidR="00826D4C" w:rsidRPr="00707A47">
        <w:rPr>
          <w:rFonts w:cs="Arial"/>
        </w:rPr>
        <w:t xml:space="preserve"> cases.</w:t>
      </w:r>
      <w:r w:rsidR="00826D4C" w:rsidRPr="00707A47">
        <w:rPr>
          <w:rStyle w:val="FootnoteReference"/>
          <w:rFonts w:cs="Arial"/>
        </w:rPr>
        <w:footnoteReference w:id="7"/>
      </w:r>
      <w:r w:rsidR="00826D4C" w:rsidRPr="00707A47">
        <w:rPr>
          <w:rFonts w:cs="Arial"/>
        </w:rPr>
        <w:t xml:space="preserve"> </w:t>
      </w:r>
      <w:r>
        <w:rPr>
          <w:rFonts w:cs="Arial"/>
        </w:rPr>
        <w:t>From that time on, t</w:t>
      </w:r>
      <w:r w:rsidR="00826D4C" w:rsidRPr="00707A47">
        <w:rPr>
          <w:rFonts w:cs="Arial"/>
        </w:rPr>
        <w:t xml:space="preserve">here </w:t>
      </w:r>
      <w:r>
        <w:rPr>
          <w:rFonts w:cs="Arial"/>
        </w:rPr>
        <w:t xml:space="preserve">have been </w:t>
      </w:r>
      <w:r w:rsidR="00826D4C" w:rsidRPr="00707A47">
        <w:rPr>
          <w:rFonts w:cs="Arial"/>
        </w:rPr>
        <w:t>many</w:t>
      </w:r>
      <w:r>
        <w:rPr>
          <w:rFonts w:cs="Arial"/>
        </w:rPr>
        <w:t>, many</w:t>
      </w:r>
      <w:r w:rsidR="00826D4C" w:rsidRPr="00707A47">
        <w:rPr>
          <w:rFonts w:cs="Arial"/>
        </w:rPr>
        <w:t xml:space="preserve"> cases whe</w:t>
      </w:r>
      <w:r>
        <w:rPr>
          <w:rFonts w:cs="Arial"/>
        </w:rPr>
        <w:t>re</w:t>
      </w:r>
      <w:r w:rsidR="00826D4C" w:rsidRPr="00707A47">
        <w:rPr>
          <w:rFonts w:cs="Arial"/>
        </w:rPr>
        <w:t xml:space="preserve"> litigation </w:t>
      </w:r>
      <w:r w:rsidR="007E07FF" w:rsidRPr="00707A47">
        <w:rPr>
          <w:rFonts w:cs="Arial"/>
        </w:rPr>
        <w:t>has been</w:t>
      </w:r>
      <w:r w:rsidR="00826D4C" w:rsidRPr="00707A47">
        <w:rPr>
          <w:rFonts w:cs="Arial"/>
        </w:rPr>
        <w:t xml:space="preserve"> accepted as a </w:t>
      </w:r>
      <w:r w:rsidR="005F3725">
        <w:rPr>
          <w:rFonts w:cs="Arial"/>
        </w:rPr>
        <w:t>significant act in furtherance of the conspiracy</w:t>
      </w:r>
      <w:r w:rsidR="00826D4C" w:rsidRPr="00707A47">
        <w:rPr>
          <w:rFonts w:cs="Arial"/>
        </w:rPr>
        <w:t xml:space="preserve">. </w:t>
      </w:r>
      <w:r w:rsidR="00826D4C" w:rsidRPr="00227B69">
        <w:rPr>
          <w:rFonts w:cs="Arial"/>
          <w:i/>
          <w:iCs/>
        </w:rPr>
        <w:t>See, e.g.</w:t>
      </w:r>
      <w:r w:rsidR="00826D4C" w:rsidRPr="00707A47">
        <w:rPr>
          <w:rFonts w:cs="Arial"/>
        </w:rPr>
        <w:t xml:space="preserve">, </w:t>
      </w:r>
      <w:r w:rsidR="00826D4C" w:rsidRPr="00707A47">
        <w:rPr>
          <w:rFonts w:cs="Arial"/>
          <w:i/>
          <w:iCs/>
          <w:color w:val="000000" w:themeColor="text1"/>
          <w:bdr w:val="none" w:sz="0" w:space="0" w:color="auto" w:frame="1"/>
          <w:shd w:val="clear" w:color="auto" w:fill="FFFFFF"/>
        </w:rPr>
        <w:t>Benoit v. Burlington Indus.</w:t>
      </w:r>
      <w:r w:rsidR="00826D4C" w:rsidRPr="00707A47">
        <w:rPr>
          <w:rFonts w:cs="Arial"/>
          <w:color w:val="000000" w:themeColor="text1"/>
          <w:bdr w:val="none" w:sz="0" w:space="0" w:color="auto" w:frame="1"/>
          <w:shd w:val="clear" w:color="auto" w:fill="FFFFFF"/>
        </w:rPr>
        <w:t>, No. 74 Civ. 441 (WCC)., 1974 U.S. Dist. LEXIS 6470, at *13-14 (S.D.N.Y. Oct. 2, 1974)</w:t>
      </w:r>
      <w:r w:rsidR="007E07FF" w:rsidRPr="00707A47">
        <w:rPr>
          <w:rFonts w:cs="Arial"/>
          <w:color w:val="000000" w:themeColor="text1"/>
          <w:bdr w:val="none" w:sz="0" w:space="0" w:color="auto" w:frame="1"/>
          <w:shd w:val="clear" w:color="auto" w:fill="FFFFFF"/>
        </w:rPr>
        <w:t>;</w:t>
      </w:r>
      <w:r w:rsidR="00826D4C" w:rsidRPr="00707A47">
        <w:rPr>
          <w:rFonts w:cs="Arial"/>
          <w:i/>
          <w:iCs/>
          <w:color w:val="000000" w:themeColor="text1"/>
          <w:bdr w:val="none" w:sz="0" w:space="0" w:color="auto" w:frame="1"/>
          <w:shd w:val="clear" w:color="auto" w:fill="FFFFFF"/>
        </w:rPr>
        <w:t xml:space="preserve"> </w:t>
      </w:r>
      <w:r w:rsidR="00826D4C" w:rsidRPr="00707A47">
        <w:rPr>
          <w:rFonts w:cs="Arial"/>
          <w:i/>
          <w:iCs/>
          <w:color w:val="000000" w:themeColor="text1"/>
          <w:bdr w:val="none" w:sz="0" w:space="0" w:color="auto" w:frame="1"/>
        </w:rPr>
        <w:t>Dean v. Town of Hempstead</w:t>
      </w:r>
      <w:r w:rsidR="00826D4C" w:rsidRPr="00707A47">
        <w:rPr>
          <w:rFonts w:cs="Arial"/>
          <w:color w:val="000000" w:themeColor="text1"/>
          <w:bdr w:val="none" w:sz="0" w:space="0" w:color="auto" w:frame="1"/>
        </w:rPr>
        <w:t>, 527 F. Supp. 3d 347, 435 (E.D.N.Y. 2021)(“</w:t>
      </w:r>
      <w:r w:rsidR="00826D4C" w:rsidRPr="00707A47">
        <w:rPr>
          <w:rFonts w:cs="Arial"/>
          <w:color w:val="000000"/>
        </w:rPr>
        <w:t>Defendants acted in  </w:t>
      </w:r>
      <w:r w:rsidR="00826D4C" w:rsidRPr="00707A47">
        <w:rPr>
          <w:rFonts w:cs="Arial"/>
          <w:color w:val="000000"/>
          <w:bdr w:val="none" w:sz="0" w:space="0" w:color="auto" w:frame="1"/>
        </w:rPr>
        <w:t>furtherance</w:t>
      </w:r>
      <w:r w:rsidR="00826D4C" w:rsidRPr="00707A47">
        <w:rPr>
          <w:rFonts w:cs="Arial"/>
          <w:color w:val="000000"/>
        </w:rPr>
        <w:t> of the </w:t>
      </w:r>
      <w:r w:rsidR="00826D4C" w:rsidRPr="00707A47">
        <w:rPr>
          <w:rFonts w:cs="Arial"/>
          <w:color w:val="000000"/>
          <w:bdr w:val="none" w:sz="0" w:space="0" w:color="auto" w:frame="1"/>
        </w:rPr>
        <w:t>conspiracy</w:t>
      </w:r>
      <w:r w:rsidR="00826D4C" w:rsidRPr="00707A47">
        <w:rPr>
          <w:rFonts w:cs="Arial"/>
          <w:color w:val="000000"/>
        </w:rPr>
        <w:t xml:space="preserve">  by: enacting specific </w:t>
      </w:r>
      <w:r w:rsidR="00826D4C" w:rsidRPr="00707A47">
        <w:rPr>
          <w:rFonts w:cs="Arial"/>
          <w:color w:val="000000"/>
          <w:bdr w:val="none" w:sz="0" w:space="0" w:color="auto" w:frame="1"/>
        </w:rPr>
        <w:t>litigation</w:t>
      </w:r>
      <w:r w:rsidR="00826D4C" w:rsidRPr="00707A47">
        <w:rPr>
          <w:rFonts w:cs="Arial"/>
          <w:color w:val="000000"/>
        </w:rPr>
        <w:t xml:space="preserve"> to target [Plaintiffs]. . . .”)</w:t>
      </w:r>
      <w:r w:rsidR="005F3725">
        <w:rPr>
          <w:rFonts w:cs="Arial"/>
          <w:color w:val="000000"/>
        </w:rPr>
        <w:t>;</w:t>
      </w:r>
      <w:r w:rsidR="00826D4C" w:rsidRPr="00707A47">
        <w:rPr>
          <w:rFonts w:cs="Arial"/>
          <w:color w:val="000000"/>
        </w:rPr>
        <w:t xml:space="preserve"> </w:t>
      </w:r>
      <w:r w:rsidR="00826D4C" w:rsidRPr="00707A47">
        <w:rPr>
          <w:rFonts w:cs="Arial"/>
          <w:i/>
          <w:iCs/>
          <w:bdr w:val="none" w:sz="0" w:space="0" w:color="auto" w:frame="1"/>
        </w:rPr>
        <w:t>Microsoft Corp. v. Amphus</w:t>
      </w:r>
      <w:r w:rsidR="00B161D7">
        <w:rPr>
          <w:rFonts w:cs="Arial"/>
          <w:i/>
          <w:iCs/>
          <w:bdr w:val="none" w:sz="0" w:space="0" w:color="auto" w:frame="1"/>
        </w:rPr>
        <w:t>,</w:t>
      </w:r>
      <w:r w:rsidR="00B161D7">
        <w:rPr>
          <w:rFonts w:cs="Arial"/>
          <w:bdr w:val="none" w:sz="0" w:space="0" w:color="auto" w:frame="1"/>
        </w:rPr>
        <w:t xml:space="preserve"> </w:t>
      </w:r>
      <w:r w:rsidR="00B161D7" w:rsidRPr="00B161D7">
        <w:rPr>
          <w:rFonts w:cs="Arial"/>
          <w:i/>
          <w:iCs/>
          <w:bdr w:val="none" w:sz="0" w:space="0" w:color="auto" w:frame="1"/>
        </w:rPr>
        <w:t>supra</w:t>
      </w:r>
      <w:r w:rsidR="00B161D7">
        <w:rPr>
          <w:rFonts w:cs="Arial"/>
          <w:bdr w:val="none" w:sz="0" w:space="0" w:color="auto" w:frame="1"/>
        </w:rPr>
        <w:t>.,</w:t>
      </w:r>
      <w:r w:rsidR="00826D4C" w:rsidRPr="00707A47">
        <w:rPr>
          <w:rFonts w:cs="Arial"/>
          <w:bdr w:val="none" w:sz="0" w:space="0" w:color="auto" w:frame="1"/>
        </w:rPr>
        <w:t xml:space="preserve"> at *39-40 (Del. Ch. Oct. 31, 2013)(</w:t>
      </w:r>
      <w:r w:rsidR="00826D4C" w:rsidRPr="00707A47">
        <w:rPr>
          <w:rStyle w:val="ssrfcsection"/>
          <w:rFonts w:cs="Arial"/>
          <w:color w:val="000000"/>
          <w:bdr w:val="none" w:sz="0" w:space="0" w:color="auto" w:frame="1"/>
        </w:rPr>
        <w:t>“</w:t>
      </w:r>
      <w:r w:rsidR="00826D4C" w:rsidRPr="00707A47">
        <w:rPr>
          <w:rFonts w:cs="Arial"/>
          <w:color w:val="000000"/>
        </w:rPr>
        <w:t>Microsoft's conspiracy claims against St. Clair can be characterized as "arising from" St. Clair's attempt to achieve the conspiratorial goal by filing a patent lawsuit to enforce the Vadem Patents in the Delaware District Court</w:t>
      </w:r>
      <w:r w:rsidR="005F3725">
        <w:rPr>
          <w:rFonts w:cs="Arial"/>
          <w:color w:val="000000"/>
        </w:rPr>
        <w:t xml:space="preserve">; and </w:t>
      </w:r>
      <w:r w:rsidR="00826D4C" w:rsidRPr="00707A47">
        <w:rPr>
          <w:rFonts w:cs="Arial"/>
          <w:i/>
          <w:iCs/>
          <w:bdr w:val="none" w:sz="0" w:space="0" w:color="auto" w:frame="1"/>
        </w:rPr>
        <w:t>United States v. Mitan</w:t>
      </w:r>
      <w:r w:rsidR="00826D4C" w:rsidRPr="00707A47">
        <w:rPr>
          <w:rFonts w:cs="Arial"/>
          <w:bdr w:val="none" w:sz="0" w:space="0" w:color="auto" w:frame="1"/>
        </w:rPr>
        <w:t>, No. 08-760-1, 2009 U.S. Dist. LEXIS 101213, at *1 (E.D. Pa. Oct. 30, 2009)</w:t>
      </w:r>
      <w:r w:rsidR="005F3725">
        <w:rPr>
          <w:rFonts w:cs="Arial"/>
          <w:bdr w:val="none" w:sz="0" w:space="0" w:color="auto" w:frame="1"/>
        </w:rPr>
        <w:t>(e</w:t>
      </w:r>
      <w:r w:rsidR="00826D4C" w:rsidRPr="00707A47">
        <w:rPr>
          <w:rFonts w:cs="Arial"/>
          <w:color w:val="000000"/>
        </w:rPr>
        <w:t xml:space="preserve">vidence of defendants' purported use of actual or </w:t>
      </w:r>
      <w:r w:rsidR="00826D4C" w:rsidRPr="00707A47">
        <w:rPr>
          <w:rFonts w:cs="Arial"/>
          <w:color w:val="000000" w:themeColor="text1"/>
        </w:rPr>
        <w:t>threatened</w:t>
      </w:r>
      <w:r w:rsidR="00826D4C" w:rsidRPr="00707A47">
        <w:rPr>
          <w:rStyle w:val="sssh"/>
          <w:rFonts w:eastAsiaTheme="majorEastAsia" w:cs="Arial"/>
          <w:color w:val="000000" w:themeColor="text1"/>
          <w:bdr w:val="none" w:sz="0" w:space="0" w:color="auto" w:frame="1"/>
        </w:rPr>
        <w:t xml:space="preserve"> litigation to </w:t>
      </w:r>
      <w:r w:rsidR="00826D4C" w:rsidRPr="00707A47">
        <w:rPr>
          <w:rStyle w:val="sssh"/>
          <w:rFonts w:eastAsiaTheme="majorEastAsia" w:cs="Arial"/>
          <w:color w:val="000000"/>
          <w:bdr w:val="none" w:sz="0" w:space="0" w:color="auto" w:frame="1"/>
        </w:rPr>
        <w:t>further</w:t>
      </w:r>
      <w:r w:rsidR="00826D4C" w:rsidRPr="00707A47">
        <w:rPr>
          <w:rFonts w:cs="Arial"/>
          <w:color w:val="000000"/>
        </w:rPr>
        <w:t xml:space="preserve"> their </w:t>
      </w:r>
      <w:r w:rsidR="00826D4C" w:rsidRPr="00707A47">
        <w:rPr>
          <w:rStyle w:val="sssh"/>
          <w:rFonts w:eastAsiaTheme="majorEastAsia" w:cs="Arial"/>
          <w:color w:val="000000"/>
          <w:bdr w:val="none" w:sz="0" w:space="0" w:color="auto" w:frame="1"/>
        </w:rPr>
        <w:t>conspiracy</w:t>
      </w:r>
      <w:r w:rsidR="00826D4C" w:rsidRPr="00707A47">
        <w:rPr>
          <w:rFonts w:cs="Arial"/>
          <w:color w:val="000000"/>
        </w:rPr>
        <w:t xml:space="preserve"> was </w:t>
      </w:r>
      <w:r w:rsidR="00B161D7">
        <w:rPr>
          <w:rFonts w:cs="Arial"/>
          <w:color w:val="000000"/>
        </w:rPr>
        <w:t>similarly</w:t>
      </w:r>
      <w:r w:rsidR="00826D4C" w:rsidRPr="00707A47">
        <w:rPr>
          <w:rFonts w:cs="Arial"/>
          <w:color w:val="000000"/>
        </w:rPr>
        <w:t xml:space="preserve"> deemed admissible.</w:t>
      </w:r>
      <w:r w:rsidR="005F3725">
        <w:rPr>
          <w:rFonts w:cs="Arial"/>
          <w:color w:val="000000"/>
        </w:rPr>
        <w:t>)</w:t>
      </w:r>
    </w:p>
    <w:p w14:paraId="453D00B7" w14:textId="212FD850" w:rsidR="00227B69" w:rsidRPr="00210C0A" w:rsidRDefault="008856E8" w:rsidP="00227B69">
      <w:pPr>
        <w:spacing w:line="480" w:lineRule="auto"/>
        <w:jc w:val="both"/>
        <w:outlineLvl w:val="0"/>
        <w:rPr>
          <w:rFonts w:cs="Arial"/>
        </w:rPr>
      </w:pPr>
      <w:r w:rsidRPr="00707A47">
        <w:tab/>
      </w:r>
      <w:r w:rsidR="00227B69">
        <w:t xml:space="preserve">Contrary to what Fathi implies, the </w:t>
      </w:r>
      <w:r w:rsidR="001259BB">
        <w:t>allegation</w:t>
      </w:r>
      <w:r w:rsidR="00227B69">
        <w:t xml:space="preserve"> that Manal </w:t>
      </w:r>
      <w:r w:rsidR="001259BB">
        <w:t xml:space="preserve">is </w:t>
      </w:r>
      <w:r w:rsidR="00227B69">
        <w:t xml:space="preserve">involved in the present conspiracy was raised in the 2017 foreclosure action, </w:t>
      </w:r>
      <w:r w:rsidR="009D282F">
        <w:t xml:space="preserve">immediately after Manal filed her own action (342). </w:t>
      </w:r>
      <w:r w:rsidR="00227B69">
        <w:rPr>
          <w:rFonts w:cs="Arial"/>
        </w:rPr>
        <w:t xml:space="preserve">On October 12, 2017, Sixteen Plus filed a counterclaim. In it, at paragraphs 33 </w:t>
      </w:r>
      <w:r w:rsidR="00227B69">
        <w:rPr>
          <w:rFonts w:cs="Arial"/>
        </w:rPr>
        <w:lastRenderedPageBreak/>
        <w:t xml:space="preserve">and 34, </w:t>
      </w:r>
      <w:r w:rsidR="001259BB">
        <w:rPr>
          <w:rFonts w:cs="Arial"/>
        </w:rPr>
        <w:t xml:space="preserve">her part in the </w:t>
      </w:r>
      <w:r w:rsidR="00227B69">
        <w:rPr>
          <w:rFonts w:cs="Arial"/>
        </w:rPr>
        <w:t xml:space="preserve">conspiracy </w:t>
      </w:r>
      <w:r w:rsidR="001259BB">
        <w:rPr>
          <w:rFonts w:cs="Arial"/>
        </w:rPr>
        <w:t xml:space="preserve">is discussed by Sixteen Plus—the same one </w:t>
      </w:r>
      <w:r w:rsidR="00227B69">
        <w:rPr>
          <w:rFonts w:cs="Arial"/>
        </w:rPr>
        <w:t xml:space="preserve">Hamed alleges on </w:t>
      </w:r>
      <w:r w:rsidR="001259BB">
        <w:rPr>
          <w:rFonts w:cs="Arial"/>
        </w:rPr>
        <w:t>Sixteen Plus’</w:t>
      </w:r>
      <w:r w:rsidR="00227B69">
        <w:rPr>
          <w:rFonts w:cs="Arial"/>
        </w:rPr>
        <w:t xml:space="preserve"> behalf, derivatively, in this action:</w:t>
      </w:r>
    </w:p>
    <w:p w14:paraId="50515082" w14:textId="77777777" w:rsidR="00227B69" w:rsidRPr="003C224A" w:rsidRDefault="00227B69" w:rsidP="00227B69">
      <w:pPr>
        <w:ind w:left="720" w:right="720"/>
        <w:jc w:val="both"/>
        <w:outlineLvl w:val="0"/>
        <w:rPr>
          <w:rFonts w:cs="Arial"/>
        </w:rPr>
      </w:pPr>
      <w:r w:rsidRPr="003C224A">
        <w:rPr>
          <w:rFonts w:cs="Arial"/>
        </w:rPr>
        <w:t xml:space="preserve">33. Sometime in 2017, Fathi Yusuf arranged with Manal Yousef to now claim the Note and Mortgage were valid so she could attempt to foreclose on it, </w:t>
      </w:r>
      <w:r w:rsidRPr="001259BB">
        <w:rPr>
          <w:rFonts w:cs="Arial"/>
          <w:i/>
          <w:iCs/>
        </w:rPr>
        <w:t>even though she knew it was a fraudulent mortgage, so they could improperly take control of the primary asset of Sixteen Plus, lnc., defrauding it and the Hamed family members</w:t>
      </w:r>
      <w:r w:rsidRPr="00A11CB0">
        <w:rPr>
          <w:rFonts w:cs="Arial"/>
        </w:rPr>
        <w:t xml:space="preserve"> who own 50% of the stock in Sixteen Plus, lnc.</w:t>
      </w:r>
      <w:r w:rsidRPr="003C224A">
        <w:rPr>
          <w:rFonts w:cs="Arial"/>
        </w:rPr>
        <w:t xml:space="preserve"> </w:t>
      </w:r>
    </w:p>
    <w:p w14:paraId="5A8A77DF" w14:textId="77777777" w:rsidR="00227B69" w:rsidRPr="00227B69" w:rsidRDefault="00227B69" w:rsidP="00227B69">
      <w:pPr>
        <w:ind w:left="720" w:right="720"/>
        <w:jc w:val="both"/>
        <w:outlineLvl w:val="0"/>
        <w:rPr>
          <w:rFonts w:cs="Arial"/>
          <w:sz w:val="12"/>
          <w:szCs w:val="12"/>
        </w:rPr>
      </w:pPr>
    </w:p>
    <w:p w14:paraId="4EA3CF2A" w14:textId="0EE08EF8" w:rsidR="00227B69" w:rsidRPr="001259BB" w:rsidRDefault="00227B69" w:rsidP="009D282F">
      <w:pPr>
        <w:ind w:left="720" w:right="720"/>
        <w:jc w:val="both"/>
        <w:outlineLvl w:val="0"/>
        <w:rPr>
          <w:rFonts w:cs="Arial"/>
        </w:rPr>
      </w:pPr>
      <w:r w:rsidRPr="003C224A">
        <w:rPr>
          <w:rFonts w:cs="Arial"/>
        </w:rPr>
        <w:t>34.</w:t>
      </w:r>
      <w:r w:rsidRPr="001259BB">
        <w:rPr>
          <w:rFonts w:cs="Arial"/>
          <w:i/>
          <w:iCs/>
        </w:rPr>
        <w:t>As part of this agreement, Fathi Yusuf and Manal Yousef</w:t>
      </w:r>
      <w:r w:rsidRPr="003C224A">
        <w:rPr>
          <w:rFonts w:cs="Arial"/>
        </w:rPr>
        <w:t xml:space="preserve"> agreed to split the proceeds of any foreclosure sale between themselves and other members of their families, </w:t>
      </w:r>
      <w:r w:rsidRPr="001259BB">
        <w:rPr>
          <w:rFonts w:cs="Arial"/>
          <w:i/>
          <w:iCs/>
        </w:rPr>
        <w:t>despite knowing that such conduct would defraud Sixteen Plus of its primary asset.</w:t>
      </w:r>
      <w:r w:rsidR="001259BB">
        <w:rPr>
          <w:rFonts w:cs="Arial"/>
          <w:i/>
          <w:iCs/>
        </w:rPr>
        <w:t xml:space="preserve"> </w:t>
      </w:r>
      <w:r w:rsidR="001259BB">
        <w:rPr>
          <w:rFonts w:cs="Arial"/>
        </w:rPr>
        <w:t>(Emphasis added.)</w:t>
      </w:r>
    </w:p>
    <w:p w14:paraId="76C31F72" w14:textId="77777777" w:rsidR="009D282F" w:rsidRDefault="009D282F" w:rsidP="009D282F">
      <w:pPr>
        <w:ind w:left="720" w:right="720"/>
        <w:jc w:val="both"/>
        <w:outlineLvl w:val="0"/>
      </w:pPr>
    </w:p>
    <w:p w14:paraId="1C2FA89F" w14:textId="6D0EB0E7" w:rsidR="009418CF" w:rsidRPr="00707A47" w:rsidRDefault="008856E8" w:rsidP="009D282F">
      <w:pPr>
        <w:pStyle w:val="BodyText"/>
        <w:spacing w:line="480" w:lineRule="auto"/>
        <w:ind w:firstLine="720"/>
        <w:jc w:val="both"/>
      </w:pPr>
      <w:r w:rsidRPr="00707A47">
        <w:t>In addition</w:t>
      </w:r>
      <w:r w:rsidR="00000BF6">
        <w:t xml:space="preserve"> to the filing </w:t>
      </w:r>
      <w:r w:rsidR="00DC2DDD">
        <w:t xml:space="preserve">and continuation </w:t>
      </w:r>
      <w:r w:rsidR="00000BF6">
        <w:t>of the foreclosure action itself</w:t>
      </w:r>
      <w:r w:rsidRPr="00707A47">
        <w:t xml:space="preserve">, </w:t>
      </w:r>
      <w:r w:rsidR="009418CF" w:rsidRPr="00707A47">
        <w:t xml:space="preserve">Manal has undertaken a </w:t>
      </w:r>
      <w:r w:rsidR="001259BB">
        <w:t xml:space="preserve">large </w:t>
      </w:r>
      <w:r w:rsidR="009418CF" w:rsidRPr="00707A47">
        <w:t xml:space="preserve">number of </w:t>
      </w:r>
      <w:r w:rsidR="00000BF6">
        <w:t xml:space="preserve">other </w:t>
      </w:r>
      <w:r w:rsidR="00BC1150" w:rsidRPr="00707A47">
        <w:t xml:space="preserve">recent, additional </w:t>
      </w:r>
      <w:r w:rsidR="009418CF" w:rsidRPr="00707A47">
        <w:t>acts in furtherance of the conspiracy</w:t>
      </w:r>
      <w:r w:rsidR="00630C57">
        <w:t>. New statements from</w:t>
      </w:r>
      <w:r w:rsidR="009418CF" w:rsidRPr="00707A47">
        <w:t xml:space="preserve"> her and </w:t>
      </w:r>
      <w:r w:rsidRPr="00707A47">
        <w:t>her counsel</w:t>
      </w:r>
      <w:r w:rsidR="00630C57">
        <w:t xml:space="preserve">, as </w:t>
      </w:r>
      <w:r w:rsidR="00774A14">
        <w:t xml:space="preserve">to </w:t>
      </w:r>
      <w:r w:rsidR="009418CF" w:rsidRPr="00707A47">
        <w:t xml:space="preserve">facts </w:t>
      </w:r>
      <w:r w:rsidRPr="00707A47">
        <w:t xml:space="preserve">previously </w:t>
      </w:r>
      <w:r w:rsidR="009418CF" w:rsidRPr="00707A47">
        <w:t>unknown to Hamed</w:t>
      </w:r>
      <w:r w:rsidR="00630C57">
        <w:t xml:space="preserve">, clearly show her </w:t>
      </w:r>
      <w:r w:rsidR="009418CF" w:rsidRPr="00707A47">
        <w:t xml:space="preserve">acts </w:t>
      </w:r>
      <w:r w:rsidR="00630C57">
        <w:t xml:space="preserve">to be </w:t>
      </w:r>
      <w:r w:rsidR="009418CF" w:rsidRPr="00707A47">
        <w:t>in concert.</w:t>
      </w:r>
      <w:r w:rsidR="00BA3449">
        <w:rPr>
          <w:rStyle w:val="FootnoteReference"/>
        </w:rPr>
        <w:footnoteReference w:id="8"/>
      </w:r>
      <w:r w:rsidR="009418CF" w:rsidRPr="00707A47">
        <w:t xml:space="preserve"> </w:t>
      </w:r>
      <w:r w:rsidR="00630C57">
        <w:t xml:space="preserve">However, </w:t>
      </w:r>
      <w:r w:rsidRPr="00707A47">
        <w:t>Manal and he</w:t>
      </w:r>
      <w:r w:rsidR="00774A14">
        <w:t>r</w:t>
      </w:r>
      <w:r w:rsidRPr="00707A47">
        <w:t xml:space="preserve"> counsel</w:t>
      </w:r>
      <w:r w:rsidR="009418CF" w:rsidRPr="00707A47">
        <w:t xml:space="preserve"> have recently made it clear</w:t>
      </w:r>
      <w:r w:rsidR="001259BB">
        <w:t xml:space="preserve"> </w:t>
      </w:r>
      <w:r w:rsidR="009418CF" w:rsidRPr="00707A47">
        <w:t>that she was fully participatory. This is newly adduced information—</w:t>
      </w:r>
      <w:r w:rsidRPr="00707A47">
        <w:t xml:space="preserve">all </w:t>
      </w:r>
      <w:r w:rsidR="009418CF" w:rsidRPr="00707A47">
        <w:t>within the</w:t>
      </w:r>
      <w:r w:rsidR="00000BF6">
        <w:t xml:space="preserve"> last few m</w:t>
      </w:r>
      <w:r w:rsidR="00630C57">
        <w:t>o</w:t>
      </w:r>
      <w:r w:rsidR="00000BF6">
        <w:t>nths, much less the SOL</w:t>
      </w:r>
      <w:r w:rsidR="009418CF" w:rsidRPr="00707A47">
        <w:t xml:space="preserve">. It is also very clear now that she </w:t>
      </w:r>
      <w:r w:rsidR="00000BF6">
        <w:t xml:space="preserve">within just the past few months she </w:t>
      </w:r>
      <w:r w:rsidR="009418CF" w:rsidRPr="00707A47">
        <w:t>has been active in, and given significant support to the conspiracy here</w:t>
      </w:r>
      <w:r w:rsidRPr="00707A47">
        <w:t>, to wit:</w:t>
      </w:r>
    </w:p>
    <w:p w14:paraId="0ED7664E" w14:textId="6DC81EB8" w:rsidR="009418CF" w:rsidRDefault="009418CF" w:rsidP="00826D4C">
      <w:pPr>
        <w:pStyle w:val="ListParagraph"/>
        <w:widowControl w:val="0"/>
        <w:numPr>
          <w:ilvl w:val="0"/>
          <w:numId w:val="42"/>
        </w:numPr>
        <w:tabs>
          <w:tab w:val="left" w:pos="1080"/>
        </w:tabs>
        <w:autoSpaceDE w:val="0"/>
        <w:autoSpaceDN w:val="0"/>
        <w:spacing w:before="1" w:line="273" w:lineRule="auto"/>
        <w:ind w:left="720" w:hanging="288"/>
        <w:jc w:val="both"/>
        <w:rPr>
          <w:rFonts w:ascii="Arial" w:hAnsi="Arial" w:cs="Arial"/>
          <w:sz w:val="24"/>
          <w:szCs w:val="24"/>
        </w:rPr>
      </w:pPr>
      <w:bookmarkStart w:id="1" w:name="_Hlk125580593"/>
      <w:r w:rsidRPr="00707A47">
        <w:rPr>
          <w:rFonts w:ascii="Arial" w:hAnsi="Arial" w:cs="Arial"/>
          <w:sz w:val="24"/>
          <w:szCs w:val="24"/>
        </w:rPr>
        <w:t xml:space="preserve">With no documentation she has </w:t>
      </w:r>
      <w:r w:rsidR="008856E8" w:rsidRPr="00707A47">
        <w:rPr>
          <w:rFonts w:ascii="Arial" w:hAnsi="Arial" w:cs="Arial"/>
          <w:i/>
          <w:sz w:val="24"/>
          <w:szCs w:val="24"/>
        </w:rPr>
        <w:t xml:space="preserve">made extensive </w:t>
      </w:r>
      <w:r w:rsidR="009D282F">
        <w:rPr>
          <w:rFonts w:ascii="Arial" w:hAnsi="Arial" w:cs="Arial"/>
          <w:i/>
          <w:sz w:val="24"/>
          <w:szCs w:val="24"/>
        </w:rPr>
        <w:t xml:space="preserve">new </w:t>
      </w:r>
      <w:r w:rsidR="008856E8" w:rsidRPr="00707A47">
        <w:rPr>
          <w:rFonts w:ascii="Arial" w:hAnsi="Arial" w:cs="Arial"/>
          <w:sz w:val="24"/>
          <w:szCs w:val="24"/>
        </w:rPr>
        <w:t xml:space="preserve">statements concerning the million dollars she has </w:t>
      </w:r>
      <w:r w:rsidR="00BC1150" w:rsidRPr="00707A47">
        <w:rPr>
          <w:rFonts w:ascii="Arial" w:hAnsi="Arial" w:cs="Arial"/>
          <w:sz w:val="24"/>
          <w:szCs w:val="24"/>
        </w:rPr>
        <w:t>received</w:t>
      </w:r>
      <w:r w:rsidR="008856E8" w:rsidRPr="00707A47">
        <w:rPr>
          <w:rFonts w:ascii="Arial" w:hAnsi="Arial" w:cs="Arial"/>
          <w:sz w:val="24"/>
          <w:szCs w:val="24"/>
        </w:rPr>
        <w:t xml:space="preserve"> in interest</w:t>
      </w:r>
      <w:r w:rsidRPr="00707A47">
        <w:rPr>
          <w:rFonts w:ascii="Arial" w:hAnsi="Arial" w:cs="Arial"/>
          <w:sz w:val="24"/>
          <w:szCs w:val="24"/>
        </w:rPr>
        <w:t xml:space="preserve">. She, within the SOL, has for the first time, </w:t>
      </w:r>
      <w:r w:rsidR="00BC1150" w:rsidRPr="00707A47">
        <w:rPr>
          <w:rFonts w:ascii="Arial" w:hAnsi="Arial" w:cs="Arial"/>
          <w:sz w:val="24"/>
          <w:szCs w:val="24"/>
        </w:rPr>
        <w:t>admitted</w:t>
      </w:r>
      <w:r w:rsidRPr="00707A47">
        <w:rPr>
          <w:rFonts w:ascii="Arial" w:hAnsi="Arial" w:cs="Arial"/>
          <w:i/>
          <w:sz w:val="24"/>
          <w:szCs w:val="24"/>
        </w:rPr>
        <w:t xml:space="preserve"> she paid no taxes </w:t>
      </w:r>
      <w:bookmarkStart w:id="2" w:name="_bookmark0"/>
      <w:bookmarkEnd w:id="2"/>
      <w:r w:rsidRPr="00707A47">
        <w:rPr>
          <w:rFonts w:ascii="Arial" w:hAnsi="Arial" w:cs="Arial"/>
          <w:sz w:val="24"/>
          <w:szCs w:val="24"/>
        </w:rPr>
        <w:t xml:space="preserve">on those </w:t>
      </w:r>
      <w:r w:rsidR="00BC1150" w:rsidRPr="00707A47">
        <w:rPr>
          <w:rFonts w:ascii="Arial" w:hAnsi="Arial" w:cs="Arial"/>
          <w:sz w:val="24"/>
          <w:szCs w:val="24"/>
        </w:rPr>
        <w:t xml:space="preserve">alleged </w:t>
      </w:r>
      <w:r w:rsidRPr="00707A47">
        <w:rPr>
          <w:rFonts w:ascii="Arial" w:hAnsi="Arial" w:cs="Arial"/>
          <w:sz w:val="24"/>
          <w:szCs w:val="24"/>
        </w:rPr>
        <w:t>funds,</w:t>
      </w:r>
      <w:r w:rsidRPr="00707A47">
        <w:rPr>
          <w:rFonts w:ascii="Arial" w:hAnsi="Arial" w:cs="Arial"/>
          <w:position w:val="18"/>
          <w:sz w:val="24"/>
          <w:szCs w:val="24"/>
        </w:rPr>
        <w:t xml:space="preserve"> </w:t>
      </w:r>
      <w:r w:rsidRPr="00707A47">
        <w:rPr>
          <w:rFonts w:ascii="Arial" w:hAnsi="Arial" w:cs="Arial"/>
          <w:sz w:val="24"/>
          <w:szCs w:val="24"/>
        </w:rPr>
        <w:t xml:space="preserve">she has also </w:t>
      </w:r>
      <w:r w:rsidRPr="00707A47">
        <w:rPr>
          <w:rFonts w:ascii="Arial" w:hAnsi="Arial" w:cs="Arial"/>
          <w:i/>
          <w:sz w:val="24"/>
          <w:szCs w:val="24"/>
        </w:rPr>
        <w:t xml:space="preserve">recently </w:t>
      </w:r>
      <w:r w:rsidRPr="00707A47">
        <w:rPr>
          <w:rFonts w:ascii="Arial" w:hAnsi="Arial" w:cs="Arial"/>
          <w:sz w:val="24"/>
          <w:szCs w:val="24"/>
        </w:rPr>
        <w:t>refused to supply critical tax returns that are relevant to those payments and the alleged gifts at</w:t>
      </w:r>
      <w:r w:rsidRPr="00707A47">
        <w:rPr>
          <w:rFonts w:ascii="Arial" w:hAnsi="Arial" w:cs="Arial"/>
          <w:spacing w:val="40"/>
          <w:sz w:val="24"/>
          <w:szCs w:val="24"/>
        </w:rPr>
        <w:t xml:space="preserve"> </w:t>
      </w:r>
      <w:r w:rsidRPr="00707A47">
        <w:rPr>
          <w:rFonts w:ascii="Arial" w:hAnsi="Arial" w:cs="Arial"/>
          <w:sz w:val="24"/>
          <w:szCs w:val="24"/>
        </w:rPr>
        <w:t xml:space="preserve">the center of this case. </w:t>
      </w:r>
      <w:r w:rsidRPr="00707A47">
        <w:rPr>
          <w:rFonts w:ascii="Arial" w:hAnsi="Arial" w:cs="Arial"/>
          <w:i/>
          <w:sz w:val="24"/>
          <w:szCs w:val="24"/>
        </w:rPr>
        <w:t xml:space="preserve">See </w:t>
      </w:r>
      <w:r w:rsidR="008856E8" w:rsidRPr="00707A47">
        <w:rPr>
          <w:rFonts w:ascii="Arial" w:hAnsi="Arial" w:cs="Arial"/>
          <w:iCs/>
          <w:sz w:val="24"/>
          <w:szCs w:val="24"/>
        </w:rPr>
        <w:t xml:space="preserve">Exhibit </w:t>
      </w:r>
      <w:r w:rsidR="00CB0500">
        <w:rPr>
          <w:rFonts w:ascii="Arial" w:hAnsi="Arial" w:cs="Arial"/>
          <w:iCs/>
          <w:sz w:val="24"/>
          <w:szCs w:val="24"/>
        </w:rPr>
        <w:t>1 to the motion to amend</w:t>
      </w:r>
      <w:r w:rsidR="008856E8" w:rsidRPr="00707A47">
        <w:rPr>
          <w:rFonts w:ascii="Arial" w:hAnsi="Arial" w:cs="Arial"/>
          <w:iCs/>
          <w:sz w:val="24"/>
          <w:szCs w:val="24"/>
        </w:rPr>
        <w:t>,</w:t>
      </w:r>
      <w:r w:rsidRPr="00707A47">
        <w:rPr>
          <w:rFonts w:ascii="Arial" w:hAnsi="Arial" w:cs="Arial"/>
          <w:i/>
          <w:sz w:val="24"/>
          <w:szCs w:val="24"/>
        </w:rPr>
        <w:t xml:space="preserve"> </w:t>
      </w:r>
      <w:r w:rsidRPr="00707A47">
        <w:rPr>
          <w:rFonts w:ascii="Arial" w:hAnsi="Arial" w:cs="Arial"/>
          <w:sz w:val="24"/>
          <w:szCs w:val="24"/>
        </w:rPr>
        <w:t xml:space="preserve">Letter </w:t>
      </w:r>
      <w:r w:rsidR="009D282F">
        <w:rPr>
          <w:rFonts w:ascii="Arial" w:hAnsi="Arial" w:cs="Arial"/>
          <w:sz w:val="24"/>
          <w:szCs w:val="24"/>
        </w:rPr>
        <w:t xml:space="preserve">from Atty. Hymes </w:t>
      </w:r>
      <w:r w:rsidRPr="00707A47">
        <w:rPr>
          <w:rFonts w:ascii="Arial" w:hAnsi="Arial" w:cs="Arial"/>
          <w:sz w:val="24"/>
          <w:szCs w:val="24"/>
        </w:rPr>
        <w:t>to Atty Hartmann, dated November 7, 2022. (“My client has indicated that she has not paid taxes on any interest payments paid to her by your clients. Therefore, I see no need for you to obtain copies of her tax returns for the years 1990 - 2000.)</w:t>
      </w:r>
    </w:p>
    <w:p w14:paraId="73445448" w14:textId="77777777" w:rsidR="005F3725" w:rsidRPr="005F3725" w:rsidRDefault="005F3725" w:rsidP="005F3725">
      <w:pPr>
        <w:pStyle w:val="ListParagraph"/>
        <w:widowControl w:val="0"/>
        <w:tabs>
          <w:tab w:val="left" w:pos="1080"/>
        </w:tabs>
        <w:autoSpaceDE w:val="0"/>
        <w:autoSpaceDN w:val="0"/>
        <w:spacing w:before="1" w:line="273" w:lineRule="auto"/>
        <w:jc w:val="both"/>
        <w:rPr>
          <w:rFonts w:ascii="Arial" w:hAnsi="Arial" w:cs="Arial"/>
          <w:sz w:val="12"/>
          <w:szCs w:val="12"/>
        </w:rPr>
      </w:pPr>
    </w:p>
    <w:p w14:paraId="1922D412" w14:textId="0910C7B2" w:rsidR="005F3725" w:rsidRPr="005F3725" w:rsidRDefault="009418CF" w:rsidP="005F3725">
      <w:pPr>
        <w:pStyle w:val="ListParagraph"/>
        <w:widowControl w:val="0"/>
        <w:numPr>
          <w:ilvl w:val="0"/>
          <w:numId w:val="42"/>
        </w:numPr>
        <w:tabs>
          <w:tab w:val="left" w:pos="1080"/>
        </w:tabs>
        <w:autoSpaceDE w:val="0"/>
        <w:autoSpaceDN w:val="0"/>
        <w:spacing w:after="0" w:line="271" w:lineRule="auto"/>
        <w:ind w:left="720" w:hanging="288"/>
        <w:contextualSpacing w:val="0"/>
        <w:jc w:val="both"/>
        <w:rPr>
          <w:rFonts w:ascii="Arial" w:hAnsi="Arial" w:cs="Arial"/>
          <w:sz w:val="24"/>
          <w:szCs w:val="24"/>
        </w:rPr>
      </w:pPr>
      <w:r w:rsidRPr="00707A47">
        <w:rPr>
          <w:rFonts w:ascii="Arial" w:hAnsi="Arial" w:cs="Arial"/>
          <w:sz w:val="24"/>
          <w:szCs w:val="24"/>
        </w:rPr>
        <w:t xml:space="preserve">She has repeatedly—up to </w:t>
      </w:r>
      <w:r w:rsidR="00BC1150" w:rsidRPr="00707A47">
        <w:rPr>
          <w:rFonts w:ascii="Arial" w:hAnsi="Arial" w:cs="Arial"/>
          <w:sz w:val="24"/>
          <w:szCs w:val="24"/>
        </w:rPr>
        <w:t>the filing of this reply</w:t>
      </w:r>
      <w:r w:rsidRPr="00707A47">
        <w:rPr>
          <w:rFonts w:ascii="Arial" w:hAnsi="Arial" w:cs="Arial"/>
          <w:sz w:val="24"/>
          <w:szCs w:val="24"/>
        </w:rPr>
        <w:t xml:space="preserve"> (since agreeing to do so in 2017</w:t>
      </w:r>
      <w:r w:rsidR="00CF0A15">
        <w:rPr>
          <w:rFonts w:ascii="Arial" w:hAnsi="Arial" w:cs="Arial"/>
          <w:sz w:val="24"/>
          <w:szCs w:val="24"/>
        </w:rPr>
        <w:t xml:space="preserve">) </w:t>
      </w:r>
      <w:r w:rsidRPr="00707A47">
        <w:rPr>
          <w:rFonts w:ascii="Arial" w:hAnsi="Arial" w:cs="Arial"/>
          <w:sz w:val="24"/>
          <w:szCs w:val="24"/>
        </w:rPr>
        <w:t>failed</w:t>
      </w:r>
      <w:r w:rsidRPr="00707A47">
        <w:rPr>
          <w:rFonts w:ascii="Arial" w:hAnsi="Arial" w:cs="Arial"/>
          <w:spacing w:val="-1"/>
          <w:sz w:val="24"/>
          <w:szCs w:val="24"/>
        </w:rPr>
        <w:t xml:space="preserve"> </w:t>
      </w:r>
      <w:r w:rsidRPr="00707A47">
        <w:rPr>
          <w:rFonts w:ascii="Arial" w:hAnsi="Arial" w:cs="Arial"/>
          <w:sz w:val="24"/>
          <w:szCs w:val="24"/>
        </w:rPr>
        <w:t>to</w:t>
      </w:r>
      <w:r w:rsidRPr="00707A47">
        <w:rPr>
          <w:rFonts w:ascii="Arial" w:hAnsi="Arial" w:cs="Arial"/>
          <w:spacing w:val="-1"/>
          <w:sz w:val="24"/>
          <w:szCs w:val="24"/>
        </w:rPr>
        <w:t xml:space="preserve"> </w:t>
      </w:r>
      <w:r w:rsidRPr="00707A47">
        <w:rPr>
          <w:rFonts w:ascii="Arial" w:hAnsi="Arial" w:cs="Arial"/>
          <w:sz w:val="24"/>
          <w:szCs w:val="24"/>
        </w:rPr>
        <w:t>provide</w:t>
      </w:r>
      <w:r w:rsidRPr="00707A47">
        <w:rPr>
          <w:rFonts w:ascii="Arial" w:hAnsi="Arial" w:cs="Arial"/>
          <w:spacing w:val="-1"/>
          <w:sz w:val="24"/>
          <w:szCs w:val="24"/>
        </w:rPr>
        <w:t xml:space="preserve"> </w:t>
      </w:r>
      <w:r w:rsidRPr="00707A47">
        <w:rPr>
          <w:rFonts w:ascii="Arial" w:hAnsi="Arial" w:cs="Arial"/>
          <w:sz w:val="24"/>
          <w:szCs w:val="24"/>
        </w:rPr>
        <w:t>her</w:t>
      </w:r>
      <w:r w:rsidRPr="00707A47">
        <w:rPr>
          <w:rFonts w:ascii="Arial" w:hAnsi="Arial" w:cs="Arial"/>
          <w:spacing w:val="-1"/>
          <w:sz w:val="24"/>
          <w:szCs w:val="24"/>
        </w:rPr>
        <w:t xml:space="preserve"> </w:t>
      </w:r>
      <w:r w:rsidRPr="00707A47">
        <w:rPr>
          <w:rFonts w:ascii="Arial" w:hAnsi="Arial" w:cs="Arial"/>
          <w:sz w:val="24"/>
          <w:szCs w:val="24"/>
        </w:rPr>
        <w:t>passports,</w:t>
      </w:r>
      <w:r w:rsidRPr="00707A47">
        <w:rPr>
          <w:rFonts w:ascii="Arial" w:hAnsi="Arial" w:cs="Arial"/>
          <w:spacing w:val="-1"/>
          <w:sz w:val="24"/>
          <w:szCs w:val="24"/>
        </w:rPr>
        <w:t xml:space="preserve"> </w:t>
      </w:r>
      <w:r w:rsidRPr="00707A47">
        <w:rPr>
          <w:rFonts w:ascii="Arial" w:hAnsi="Arial" w:cs="Arial"/>
          <w:sz w:val="24"/>
          <w:szCs w:val="24"/>
        </w:rPr>
        <w:t>which</w:t>
      </w:r>
      <w:r w:rsidRPr="00707A47">
        <w:rPr>
          <w:rFonts w:ascii="Arial" w:hAnsi="Arial" w:cs="Arial"/>
          <w:spacing w:val="-1"/>
          <w:sz w:val="24"/>
          <w:szCs w:val="24"/>
        </w:rPr>
        <w:t xml:space="preserve"> </w:t>
      </w:r>
      <w:r w:rsidRPr="00707A47">
        <w:rPr>
          <w:rFonts w:ascii="Arial" w:hAnsi="Arial" w:cs="Arial"/>
          <w:sz w:val="24"/>
          <w:szCs w:val="24"/>
        </w:rPr>
        <w:t>would</w:t>
      </w:r>
      <w:r w:rsidRPr="00707A47">
        <w:rPr>
          <w:rFonts w:ascii="Arial" w:hAnsi="Arial" w:cs="Arial"/>
          <w:spacing w:val="-1"/>
          <w:sz w:val="24"/>
          <w:szCs w:val="24"/>
        </w:rPr>
        <w:t xml:space="preserve"> </w:t>
      </w:r>
      <w:r w:rsidRPr="00707A47">
        <w:rPr>
          <w:rFonts w:ascii="Arial" w:hAnsi="Arial" w:cs="Arial"/>
          <w:sz w:val="24"/>
          <w:szCs w:val="24"/>
        </w:rPr>
        <w:t>show</w:t>
      </w:r>
      <w:r w:rsidRPr="00707A47">
        <w:rPr>
          <w:rFonts w:ascii="Arial" w:hAnsi="Arial" w:cs="Arial"/>
          <w:spacing w:val="-1"/>
          <w:sz w:val="24"/>
          <w:szCs w:val="24"/>
        </w:rPr>
        <w:t xml:space="preserve"> </w:t>
      </w:r>
      <w:r w:rsidRPr="00707A47">
        <w:rPr>
          <w:rFonts w:ascii="Arial" w:hAnsi="Arial" w:cs="Arial"/>
          <w:sz w:val="24"/>
          <w:szCs w:val="24"/>
        </w:rPr>
        <w:t>travel</w:t>
      </w:r>
      <w:r w:rsidRPr="00707A47">
        <w:rPr>
          <w:rFonts w:ascii="Arial" w:hAnsi="Arial" w:cs="Arial"/>
          <w:spacing w:val="-1"/>
          <w:sz w:val="24"/>
          <w:szCs w:val="24"/>
        </w:rPr>
        <w:t xml:space="preserve"> </w:t>
      </w:r>
      <w:r w:rsidRPr="00707A47">
        <w:rPr>
          <w:rFonts w:ascii="Arial" w:hAnsi="Arial" w:cs="Arial"/>
          <w:sz w:val="24"/>
          <w:szCs w:val="24"/>
        </w:rPr>
        <w:t>related</w:t>
      </w:r>
      <w:r w:rsidRPr="00707A47">
        <w:rPr>
          <w:rFonts w:ascii="Arial" w:hAnsi="Arial" w:cs="Arial"/>
          <w:spacing w:val="-1"/>
          <w:sz w:val="24"/>
          <w:szCs w:val="24"/>
        </w:rPr>
        <w:t xml:space="preserve"> </w:t>
      </w:r>
      <w:r w:rsidRPr="00707A47">
        <w:rPr>
          <w:rFonts w:ascii="Arial" w:hAnsi="Arial" w:cs="Arial"/>
          <w:sz w:val="24"/>
          <w:szCs w:val="24"/>
        </w:rPr>
        <w:t>to</w:t>
      </w:r>
      <w:r w:rsidRPr="00707A47">
        <w:rPr>
          <w:rFonts w:ascii="Arial" w:hAnsi="Arial" w:cs="Arial"/>
          <w:spacing w:val="-1"/>
          <w:sz w:val="24"/>
          <w:szCs w:val="24"/>
        </w:rPr>
        <w:t xml:space="preserve"> </w:t>
      </w:r>
      <w:r w:rsidRPr="00707A47">
        <w:rPr>
          <w:rFonts w:ascii="Arial" w:hAnsi="Arial" w:cs="Arial"/>
          <w:sz w:val="24"/>
          <w:szCs w:val="24"/>
        </w:rPr>
        <w:t xml:space="preserve">the conspiracy during both the original </w:t>
      </w:r>
      <w:r w:rsidR="009D282F">
        <w:rPr>
          <w:rFonts w:ascii="Arial" w:hAnsi="Arial" w:cs="Arial"/>
          <w:sz w:val="24"/>
          <w:szCs w:val="24"/>
        </w:rPr>
        <w:t>formation of the note</w:t>
      </w:r>
      <w:r w:rsidRPr="00707A47">
        <w:rPr>
          <w:rFonts w:ascii="Arial" w:hAnsi="Arial" w:cs="Arial"/>
          <w:sz w:val="24"/>
          <w:szCs w:val="24"/>
        </w:rPr>
        <w:t xml:space="preserve"> and currently. That is a new act in support of the conspiracy. Not only were these agreed to in </w:t>
      </w:r>
      <w:bookmarkStart w:id="3" w:name="_bookmark1"/>
      <w:bookmarkEnd w:id="3"/>
      <w:r w:rsidRPr="00707A47">
        <w:rPr>
          <w:rFonts w:ascii="Arial" w:hAnsi="Arial" w:cs="Arial"/>
          <w:sz w:val="24"/>
          <w:szCs w:val="24"/>
        </w:rPr>
        <w:t>2017</w:t>
      </w:r>
      <w:r w:rsidR="00BC1150" w:rsidRPr="00707A47">
        <w:rPr>
          <w:rFonts w:ascii="Arial" w:hAnsi="Arial" w:cs="Arial"/>
          <w:sz w:val="24"/>
          <w:szCs w:val="24"/>
        </w:rPr>
        <w:t>,</w:t>
      </w:r>
      <w:r w:rsidR="00BC1150" w:rsidRPr="00707A47">
        <w:rPr>
          <w:rStyle w:val="FootnoteReference"/>
          <w:rFonts w:ascii="Arial" w:hAnsi="Arial" w:cs="Arial"/>
          <w:sz w:val="24"/>
          <w:szCs w:val="24"/>
        </w:rPr>
        <w:footnoteReference w:id="9"/>
      </w:r>
      <w:r w:rsidRPr="00707A47">
        <w:rPr>
          <w:rFonts w:ascii="Arial" w:hAnsi="Arial" w:cs="Arial"/>
          <w:sz w:val="24"/>
          <w:szCs w:val="24"/>
        </w:rPr>
        <w:t xml:space="preserve"> but again in </w:t>
      </w:r>
      <w:r w:rsidRPr="00707A47">
        <w:rPr>
          <w:rFonts w:ascii="Arial" w:hAnsi="Arial" w:cs="Arial"/>
          <w:sz w:val="24"/>
          <w:szCs w:val="24"/>
        </w:rPr>
        <w:lastRenderedPageBreak/>
        <w:t xml:space="preserve">November of </w:t>
      </w:r>
      <w:r w:rsidR="00000BF6">
        <w:rPr>
          <w:rFonts w:ascii="Arial" w:hAnsi="Arial" w:cs="Arial"/>
          <w:sz w:val="24"/>
          <w:szCs w:val="24"/>
        </w:rPr>
        <w:t xml:space="preserve">2022, </w:t>
      </w:r>
      <w:r w:rsidRPr="00707A47">
        <w:rPr>
          <w:rFonts w:ascii="Arial" w:hAnsi="Arial" w:cs="Arial"/>
          <w:sz w:val="24"/>
          <w:szCs w:val="24"/>
        </w:rPr>
        <w:t xml:space="preserve">by </w:t>
      </w:r>
      <w:r w:rsidR="00BC1150" w:rsidRPr="00707A47">
        <w:rPr>
          <w:rFonts w:ascii="Arial" w:hAnsi="Arial" w:cs="Arial"/>
          <w:sz w:val="24"/>
          <w:szCs w:val="24"/>
        </w:rPr>
        <w:t xml:space="preserve">her counsel in his </w:t>
      </w:r>
      <w:r w:rsidR="00000BF6">
        <w:rPr>
          <w:rFonts w:ascii="Arial" w:hAnsi="Arial" w:cs="Arial"/>
          <w:sz w:val="24"/>
          <w:szCs w:val="24"/>
        </w:rPr>
        <w:t xml:space="preserve">referenced </w:t>
      </w:r>
      <w:r w:rsidR="00BC1150" w:rsidRPr="00707A47">
        <w:rPr>
          <w:rFonts w:ascii="Arial" w:hAnsi="Arial" w:cs="Arial"/>
          <w:sz w:val="24"/>
          <w:szCs w:val="24"/>
        </w:rPr>
        <w:t>letter</w:t>
      </w:r>
      <w:r w:rsidR="00CF0A15">
        <w:rPr>
          <w:rFonts w:ascii="Arial" w:hAnsi="Arial" w:cs="Arial"/>
          <w:sz w:val="24"/>
          <w:szCs w:val="24"/>
        </w:rPr>
        <w:t xml:space="preserve"> (Exhibit 1 to the motion)</w:t>
      </w:r>
      <w:r w:rsidRPr="00707A47">
        <w:rPr>
          <w:rFonts w:ascii="Arial" w:hAnsi="Arial" w:cs="Arial"/>
          <w:sz w:val="24"/>
          <w:szCs w:val="24"/>
        </w:rPr>
        <w:t>—but</w:t>
      </w:r>
      <w:r w:rsidR="00BC1150" w:rsidRPr="00707A47">
        <w:rPr>
          <w:rFonts w:ascii="Arial" w:hAnsi="Arial" w:cs="Arial"/>
          <w:sz w:val="24"/>
          <w:szCs w:val="24"/>
        </w:rPr>
        <w:t xml:space="preserve"> </w:t>
      </w:r>
      <w:r w:rsidRPr="00707A47">
        <w:rPr>
          <w:rFonts w:ascii="Arial" w:hAnsi="Arial" w:cs="Arial"/>
          <w:sz w:val="24"/>
          <w:szCs w:val="24"/>
        </w:rPr>
        <w:t>they</w:t>
      </w:r>
      <w:r w:rsidRPr="00707A47">
        <w:rPr>
          <w:rFonts w:ascii="Arial" w:hAnsi="Arial" w:cs="Arial"/>
          <w:spacing w:val="-2"/>
          <w:sz w:val="24"/>
          <w:szCs w:val="24"/>
        </w:rPr>
        <w:t xml:space="preserve"> </w:t>
      </w:r>
      <w:r w:rsidRPr="00707A47">
        <w:rPr>
          <w:rFonts w:ascii="Arial" w:hAnsi="Arial" w:cs="Arial"/>
          <w:sz w:val="24"/>
          <w:szCs w:val="24"/>
        </w:rPr>
        <w:t>still</w:t>
      </w:r>
      <w:r w:rsidRPr="00707A47">
        <w:rPr>
          <w:rFonts w:ascii="Arial" w:hAnsi="Arial" w:cs="Arial"/>
          <w:spacing w:val="-2"/>
          <w:sz w:val="24"/>
          <w:szCs w:val="24"/>
        </w:rPr>
        <w:t xml:space="preserve"> </w:t>
      </w:r>
      <w:r w:rsidRPr="00707A47">
        <w:rPr>
          <w:rFonts w:ascii="Arial" w:hAnsi="Arial" w:cs="Arial"/>
          <w:sz w:val="24"/>
          <w:szCs w:val="24"/>
        </w:rPr>
        <w:t>have</w:t>
      </w:r>
      <w:r w:rsidRPr="00707A47">
        <w:rPr>
          <w:rFonts w:ascii="Arial" w:hAnsi="Arial" w:cs="Arial"/>
          <w:spacing w:val="-2"/>
          <w:sz w:val="24"/>
          <w:szCs w:val="24"/>
        </w:rPr>
        <w:t xml:space="preserve"> </w:t>
      </w:r>
      <w:r w:rsidRPr="00707A47">
        <w:rPr>
          <w:rFonts w:ascii="Arial" w:hAnsi="Arial" w:cs="Arial"/>
          <w:sz w:val="24"/>
          <w:szCs w:val="24"/>
        </w:rPr>
        <w:t>not</w:t>
      </w:r>
      <w:r w:rsidRPr="00707A47">
        <w:rPr>
          <w:rFonts w:ascii="Arial" w:hAnsi="Arial" w:cs="Arial"/>
          <w:spacing w:val="-3"/>
          <w:sz w:val="24"/>
          <w:szCs w:val="24"/>
        </w:rPr>
        <w:t xml:space="preserve"> </w:t>
      </w:r>
      <w:r w:rsidRPr="00707A47">
        <w:rPr>
          <w:rFonts w:ascii="Arial" w:hAnsi="Arial" w:cs="Arial"/>
          <w:sz w:val="24"/>
          <w:szCs w:val="24"/>
        </w:rPr>
        <w:t>been</w:t>
      </w:r>
      <w:r w:rsidRPr="00707A47">
        <w:rPr>
          <w:rFonts w:ascii="Arial" w:hAnsi="Arial" w:cs="Arial"/>
          <w:spacing w:val="-2"/>
          <w:sz w:val="24"/>
          <w:szCs w:val="24"/>
        </w:rPr>
        <w:t xml:space="preserve"> provided.</w:t>
      </w:r>
    </w:p>
    <w:p w14:paraId="100B90D1" w14:textId="77777777" w:rsidR="005F3725" w:rsidRPr="005F3725" w:rsidRDefault="005F3725" w:rsidP="005F3725">
      <w:pPr>
        <w:widowControl w:val="0"/>
        <w:tabs>
          <w:tab w:val="left" w:pos="1080"/>
        </w:tabs>
        <w:autoSpaceDE w:val="0"/>
        <w:autoSpaceDN w:val="0"/>
        <w:jc w:val="both"/>
        <w:rPr>
          <w:rFonts w:cs="Arial"/>
          <w:sz w:val="12"/>
          <w:szCs w:val="12"/>
        </w:rPr>
      </w:pPr>
    </w:p>
    <w:p w14:paraId="010F74B4" w14:textId="449C1965" w:rsidR="009418CF" w:rsidRPr="00707A47" w:rsidRDefault="00CF0A15" w:rsidP="005F3725">
      <w:pPr>
        <w:pStyle w:val="ListParagraph"/>
        <w:widowControl w:val="0"/>
        <w:numPr>
          <w:ilvl w:val="0"/>
          <w:numId w:val="42"/>
        </w:numPr>
        <w:tabs>
          <w:tab w:val="left" w:pos="1080"/>
        </w:tabs>
        <w:autoSpaceDE w:val="0"/>
        <w:autoSpaceDN w:val="0"/>
        <w:spacing w:after="0" w:line="271" w:lineRule="auto"/>
        <w:ind w:left="720" w:hanging="288"/>
        <w:contextualSpacing w:val="0"/>
        <w:jc w:val="both"/>
        <w:rPr>
          <w:rFonts w:ascii="Arial" w:hAnsi="Arial" w:cs="Arial"/>
          <w:sz w:val="24"/>
          <w:szCs w:val="24"/>
        </w:rPr>
      </w:pPr>
      <w:r>
        <w:rPr>
          <w:rFonts w:ascii="Arial" w:hAnsi="Arial" w:cs="Arial"/>
          <w:sz w:val="24"/>
          <w:szCs w:val="24"/>
        </w:rPr>
        <w:t>S</w:t>
      </w:r>
      <w:r w:rsidR="009418CF" w:rsidRPr="00707A47">
        <w:rPr>
          <w:rFonts w:ascii="Arial" w:hAnsi="Arial" w:cs="Arial"/>
          <w:sz w:val="24"/>
          <w:szCs w:val="24"/>
        </w:rPr>
        <w:t>he allege</w:t>
      </w:r>
      <w:r>
        <w:rPr>
          <w:rFonts w:ascii="Arial" w:hAnsi="Arial" w:cs="Arial"/>
          <w:sz w:val="24"/>
          <w:szCs w:val="24"/>
        </w:rPr>
        <w:t>s</w:t>
      </w:r>
      <w:r w:rsidR="009418CF" w:rsidRPr="00707A47">
        <w:rPr>
          <w:rFonts w:ascii="Arial" w:hAnsi="Arial" w:cs="Arial"/>
          <w:sz w:val="24"/>
          <w:szCs w:val="24"/>
        </w:rPr>
        <w:t xml:space="preserve"> (and the defendants very much rely on the fact) that she has received that million dollars in interest, but </w:t>
      </w:r>
      <w:r w:rsidR="00CB0500">
        <w:rPr>
          <w:rFonts w:ascii="Arial" w:hAnsi="Arial" w:cs="Arial"/>
          <w:i/>
          <w:iCs/>
          <w:sz w:val="24"/>
          <w:szCs w:val="24"/>
          <w:u w:val="single"/>
        </w:rPr>
        <w:t>in 2022</w:t>
      </w:r>
      <w:r w:rsidR="009418CF" w:rsidRPr="00707A47">
        <w:rPr>
          <w:rFonts w:ascii="Arial" w:hAnsi="Arial" w:cs="Arial"/>
          <w:sz w:val="24"/>
          <w:szCs w:val="24"/>
        </w:rPr>
        <w:t xml:space="preserve"> </w:t>
      </w:r>
      <w:r>
        <w:rPr>
          <w:rFonts w:ascii="Arial" w:hAnsi="Arial" w:cs="Arial"/>
          <w:sz w:val="24"/>
          <w:szCs w:val="24"/>
        </w:rPr>
        <w:t xml:space="preserve">she </w:t>
      </w:r>
      <w:r w:rsidR="009418CF" w:rsidRPr="00707A47">
        <w:rPr>
          <w:rFonts w:ascii="Arial" w:hAnsi="Arial" w:cs="Arial"/>
          <w:sz w:val="24"/>
          <w:szCs w:val="24"/>
        </w:rPr>
        <w:t>refuse</w:t>
      </w:r>
      <w:r w:rsidR="00CB0500">
        <w:rPr>
          <w:rFonts w:ascii="Arial" w:hAnsi="Arial" w:cs="Arial"/>
          <w:sz w:val="24"/>
          <w:szCs w:val="24"/>
        </w:rPr>
        <w:t>d</w:t>
      </w:r>
      <w:r w:rsidR="009418CF" w:rsidRPr="00707A47">
        <w:rPr>
          <w:rFonts w:ascii="Arial" w:hAnsi="Arial" w:cs="Arial"/>
          <w:sz w:val="24"/>
          <w:szCs w:val="24"/>
        </w:rPr>
        <w:t xml:space="preserve"> to provide the basics that would allow </w:t>
      </w:r>
      <w:r>
        <w:rPr>
          <w:rFonts w:ascii="Arial" w:hAnsi="Arial" w:cs="Arial"/>
          <w:sz w:val="24"/>
          <w:szCs w:val="24"/>
        </w:rPr>
        <w:t xml:space="preserve">this claim </w:t>
      </w:r>
      <w:r w:rsidR="009418CF" w:rsidRPr="00707A47">
        <w:rPr>
          <w:rFonts w:ascii="Arial" w:hAnsi="Arial" w:cs="Arial"/>
          <w:sz w:val="24"/>
          <w:szCs w:val="24"/>
        </w:rPr>
        <w:t>to be investigated:</w:t>
      </w:r>
    </w:p>
    <w:p w14:paraId="48FCD5D0" w14:textId="77777777" w:rsidR="009418CF" w:rsidRPr="005F3725" w:rsidRDefault="009418CF" w:rsidP="00826D4C">
      <w:pPr>
        <w:pStyle w:val="BodyText"/>
        <w:spacing w:before="1"/>
        <w:rPr>
          <w:sz w:val="12"/>
          <w:szCs w:val="12"/>
        </w:rPr>
      </w:pPr>
    </w:p>
    <w:p w14:paraId="11E49BBE" w14:textId="3F4C3953" w:rsidR="00707A47" w:rsidRDefault="00CF0A15" w:rsidP="00707A47">
      <w:pPr>
        <w:pStyle w:val="ListParagraph"/>
        <w:widowControl w:val="0"/>
        <w:numPr>
          <w:ilvl w:val="1"/>
          <w:numId w:val="42"/>
        </w:numPr>
        <w:tabs>
          <w:tab w:val="left" w:pos="2284"/>
        </w:tabs>
        <w:autoSpaceDE w:val="0"/>
        <w:autoSpaceDN w:val="0"/>
        <w:spacing w:after="0" w:line="247" w:lineRule="auto"/>
        <w:ind w:left="1440" w:hanging="720"/>
        <w:contextualSpacing w:val="0"/>
        <w:jc w:val="both"/>
        <w:rPr>
          <w:rFonts w:ascii="Arial" w:hAnsi="Arial" w:cs="Arial"/>
          <w:sz w:val="24"/>
          <w:szCs w:val="24"/>
        </w:rPr>
      </w:pPr>
      <w:r>
        <w:rPr>
          <w:rFonts w:ascii="Arial" w:hAnsi="Arial" w:cs="Arial"/>
          <w:sz w:val="24"/>
          <w:szCs w:val="24"/>
        </w:rPr>
        <w:t>Contrary to the opening language of Rule 26, s</w:t>
      </w:r>
      <w:r w:rsidR="009418CF" w:rsidRPr="00707A47">
        <w:rPr>
          <w:rFonts w:ascii="Arial" w:hAnsi="Arial" w:cs="Arial"/>
          <w:sz w:val="24"/>
          <w:szCs w:val="24"/>
        </w:rPr>
        <w:t>he</w:t>
      </w:r>
      <w:r w:rsidR="009418CF" w:rsidRPr="00707A47">
        <w:rPr>
          <w:rFonts w:ascii="Arial" w:hAnsi="Arial" w:cs="Arial"/>
          <w:spacing w:val="-1"/>
          <w:sz w:val="24"/>
          <w:szCs w:val="24"/>
        </w:rPr>
        <w:t xml:space="preserve"> </w:t>
      </w:r>
      <w:r w:rsidR="009418CF" w:rsidRPr="00707A47">
        <w:rPr>
          <w:rFonts w:ascii="Arial" w:hAnsi="Arial" w:cs="Arial"/>
          <w:sz w:val="24"/>
          <w:szCs w:val="24"/>
        </w:rPr>
        <w:t>has</w:t>
      </w:r>
      <w:r w:rsidR="009418CF" w:rsidRPr="00707A47">
        <w:rPr>
          <w:rFonts w:ascii="Arial" w:hAnsi="Arial" w:cs="Arial"/>
          <w:spacing w:val="-1"/>
          <w:sz w:val="24"/>
          <w:szCs w:val="24"/>
        </w:rPr>
        <w:t xml:space="preserve"> </w:t>
      </w:r>
      <w:r>
        <w:rPr>
          <w:rFonts w:ascii="Arial" w:hAnsi="Arial" w:cs="Arial"/>
          <w:spacing w:val="-1"/>
          <w:sz w:val="24"/>
          <w:szCs w:val="24"/>
        </w:rPr>
        <w:t xml:space="preserve">recently </w:t>
      </w:r>
      <w:r w:rsidR="009418CF" w:rsidRPr="00707A47">
        <w:rPr>
          <w:rFonts w:ascii="Arial" w:hAnsi="Arial" w:cs="Arial"/>
          <w:sz w:val="24"/>
          <w:szCs w:val="24"/>
        </w:rPr>
        <w:t>refused</w:t>
      </w:r>
      <w:r w:rsidR="009418CF" w:rsidRPr="00707A47">
        <w:rPr>
          <w:rFonts w:ascii="Arial" w:hAnsi="Arial" w:cs="Arial"/>
          <w:spacing w:val="-1"/>
          <w:sz w:val="24"/>
          <w:szCs w:val="24"/>
        </w:rPr>
        <w:t xml:space="preserve"> </w:t>
      </w:r>
      <w:r w:rsidR="009418CF" w:rsidRPr="00707A47">
        <w:rPr>
          <w:rFonts w:ascii="Arial" w:hAnsi="Arial" w:cs="Arial"/>
          <w:sz w:val="24"/>
          <w:szCs w:val="24"/>
        </w:rPr>
        <w:t>her</w:t>
      </w:r>
      <w:r w:rsidR="009418CF" w:rsidRPr="00707A47">
        <w:rPr>
          <w:rFonts w:ascii="Arial" w:hAnsi="Arial" w:cs="Arial"/>
          <w:spacing w:val="-1"/>
          <w:sz w:val="24"/>
          <w:szCs w:val="24"/>
        </w:rPr>
        <w:t xml:space="preserve"> </w:t>
      </w:r>
      <w:r w:rsidR="009418CF" w:rsidRPr="00707A47">
        <w:rPr>
          <w:rFonts w:ascii="Arial" w:hAnsi="Arial" w:cs="Arial"/>
          <w:sz w:val="24"/>
          <w:szCs w:val="24"/>
        </w:rPr>
        <w:t>address,</w:t>
      </w:r>
      <w:r w:rsidR="009418CF" w:rsidRPr="00707A47">
        <w:rPr>
          <w:rFonts w:ascii="Arial" w:hAnsi="Arial" w:cs="Arial"/>
          <w:spacing w:val="-1"/>
          <w:sz w:val="24"/>
          <w:szCs w:val="24"/>
        </w:rPr>
        <w:t xml:space="preserve"> </w:t>
      </w:r>
      <w:r w:rsidR="009418CF" w:rsidRPr="00707A47">
        <w:rPr>
          <w:rFonts w:ascii="Arial" w:hAnsi="Arial" w:cs="Arial"/>
          <w:sz w:val="24"/>
          <w:szCs w:val="24"/>
        </w:rPr>
        <w:t>which</w:t>
      </w:r>
      <w:r w:rsidR="009418CF" w:rsidRPr="00707A47">
        <w:rPr>
          <w:rFonts w:ascii="Arial" w:hAnsi="Arial" w:cs="Arial"/>
          <w:spacing w:val="-1"/>
          <w:sz w:val="24"/>
          <w:szCs w:val="24"/>
        </w:rPr>
        <w:t xml:space="preserve"> </w:t>
      </w:r>
      <w:r w:rsidR="009418CF" w:rsidRPr="00707A47">
        <w:rPr>
          <w:rFonts w:ascii="Arial" w:hAnsi="Arial" w:cs="Arial"/>
          <w:sz w:val="24"/>
          <w:szCs w:val="24"/>
        </w:rPr>
        <w:t>prevents</w:t>
      </w:r>
      <w:r w:rsidR="009418CF" w:rsidRPr="00707A47">
        <w:rPr>
          <w:rFonts w:ascii="Arial" w:hAnsi="Arial" w:cs="Arial"/>
          <w:spacing w:val="-1"/>
          <w:sz w:val="24"/>
          <w:szCs w:val="24"/>
        </w:rPr>
        <w:t xml:space="preserve"> </w:t>
      </w:r>
      <w:r w:rsidR="009418CF" w:rsidRPr="00707A47">
        <w:rPr>
          <w:rFonts w:ascii="Arial" w:hAnsi="Arial" w:cs="Arial"/>
          <w:sz w:val="24"/>
          <w:szCs w:val="24"/>
        </w:rPr>
        <w:t>Hamed</w:t>
      </w:r>
      <w:r w:rsidR="009418CF" w:rsidRPr="00707A47">
        <w:rPr>
          <w:rFonts w:ascii="Arial" w:hAnsi="Arial" w:cs="Arial"/>
          <w:spacing w:val="-1"/>
          <w:sz w:val="24"/>
          <w:szCs w:val="24"/>
        </w:rPr>
        <w:t xml:space="preserve"> </w:t>
      </w:r>
      <w:r w:rsidR="009418CF" w:rsidRPr="00707A47">
        <w:rPr>
          <w:rFonts w:ascii="Arial" w:hAnsi="Arial" w:cs="Arial"/>
          <w:sz w:val="24"/>
          <w:szCs w:val="24"/>
        </w:rPr>
        <w:t xml:space="preserve">from investigating ownership status, value and credit basics. </w:t>
      </w:r>
      <w:r w:rsidRPr="00CF0A15">
        <w:rPr>
          <w:rFonts w:ascii="Arial" w:hAnsi="Arial" w:cs="Arial"/>
          <w:i/>
          <w:iCs/>
          <w:sz w:val="24"/>
          <w:szCs w:val="24"/>
        </w:rPr>
        <w:t>See</w:t>
      </w:r>
      <w:r>
        <w:rPr>
          <w:rFonts w:ascii="Arial" w:hAnsi="Arial" w:cs="Arial"/>
          <w:sz w:val="24"/>
          <w:szCs w:val="24"/>
        </w:rPr>
        <w:t xml:space="preserve"> </w:t>
      </w:r>
      <w:r w:rsidR="009418CF" w:rsidRPr="00707A47">
        <w:rPr>
          <w:rFonts w:ascii="Arial" w:hAnsi="Arial" w:cs="Arial"/>
          <w:sz w:val="24"/>
          <w:szCs w:val="24"/>
        </w:rPr>
        <w:t>Exhibit 1. (</w:t>
      </w:r>
      <w:r w:rsidR="00CB0500">
        <w:rPr>
          <w:rFonts w:ascii="Arial" w:hAnsi="Arial" w:cs="Arial"/>
          <w:sz w:val="24"/>
          <w:szCs w:val="24"/>
        </w:rPr>
        <w:t xml:space="preserve">Atty Hymes: </w:t>
      </w:r>
      <w:r w:rsidR="009418CF" w:rsidRPr="00707A47">
        <w:rPr>
          <w:rFonts w:ascii="Arial" w:hAnsi="Arial" w:cs="Arial"/>
          <w:sz w:val="24"/>
          <w:szCs w:val="24"/>
        </w:rPr>
        <w:t>“You indicated to me that you required a description</w:t>
      </w:r>
      <w:r w:rsidR="009418CF" w:rsidRPr="00707A47">
        <w:rPr>
          <w:rFonts w:ascii="Arial" w:hAnsi="Arial" w:cs="Arial"/>
          <w:spacing w:val="-2"/>
          <w:sz w:val="24"/>
          <w:szCs w:val="24"/>
        </w:rPr>
        <w:t xml:space="preserve"> </w:t>
      </w:r>
      <w:r w:rsidR="009418CF" w:rsidRPr="00707A47">
        <w:rPr>
          <w:rFonts w:ascii="Arial" w:hAnsi="Arial" w:cs="Arial"/>
          <w:sz w:val="24"/>
          <w:szCs w:val="24"/>
        </w:rPr>
        <w:t>of</w:t>
      </w:r>
      <w:r w:rsidR="009418CF" w:rsidRPr="00707A47">
        <w:rPr>
          <w:rFonts w:ascii="Arial" w:hAnsi="Arial" w:cs="Arial"/>
          <w:spacing w:val="-2"/>
          <w:sz w:val="24"/>
          <w:szCs w:val="24"/>
        </w:rPr>
        <w:t xml:space="preserve"> </w:t>
      </w:r>
      <w:r w:rsidR="009418CF" w:rsidRPr="00707A47">
        <w:rPr>
          <w:rFonts w:ascii="Arial" w:hAnsi="Arial" w:cs="Arial"/>
          <w:sz w:val="24"/>
          <w:szCs w:val="24"/>
        </w:rPr>
        <w:t>the</w:t>
      </w:r>
      <w:r w:rsidR="009418CF" w:rsidRPr="00707A47">
        <w:rPr>
          <w:rFonts w:ascii="Arial" w:hAnsi="Arial" w:cs="Arial"/>
          <w:spacing w:val="-2"/>
          <w:sz w:val="24"/>
          <w:szCs w:val="24"/>
        </w:rPr>
        <w:t xml:space="preserve"> </w:t>
      </w:r>
      <w:r w:rsidR="009418CF" w:rsidRPr="00707A47">
        <w:rPr>
          <w:rFonts w:ascii="Arial" w:hAnsi="Arial" w:cs="Arial"/>
          <w:sz w:val="24"/>
          <w:szCs w:val="24"/>
        </w:rPr>
        <w:t>present</w:t>
      </w:r>
      <w:r w:rsidR="009418CF" w:rsidRPr="00707A47">
        <w:rPr>
          <w:rFonts w:ascii="Arial" w:hAnsi="Arial" w:cs="Arial"/>
          <w:spacing w:val="-2"/>
          <w:sz w:val="24"/>
          <w:szCs w:val="24"/>
        </w:rPr>
        <w:t xml:space="preserve"> </w:t>
      </w:r>
      <w:r w:rsidR="009418CF" w:rsidRPr="00707A47">
        <w:rPr>
          <w:rFonts w:ascii="Arial" w:hAnsi="Arial" w:cs="Arial"/>
          <w:sz w:val="24"/>
          <w:szCs w:val="24"/>
        </w:rPr>
        <w:t>address</w:t>
      </w:r>
      <w:r w:rsidR="009418CF" w:rsidRPr="00707A47">
        <w:rPr>
          <w:rFonts w:ascii="Arial" w:hAnsi="Arial" w:cs="Arial"/>
          <w:spacing w:val="-2"/>
          <w:sz w:val="24"/>
          <w:szCs w:val="24"/>
        </w:rPr>
        <w:t xml:space="preserve"> </w:t>
      </w:r>
      <w:r w:rsidR="009418CF" w:rsidRPr="00707A47">
        <w:rPr>
          <w:rFonts w:ascii="Arial" w:hAnsi="Arial" w:cs="Arial"/>
          <w:sz w:val="24"/>
          <w:szCs w:val="24"/>
        </w:rPr>
        <w:t>for</w:t>
      </w:r>
      <w:r w:rsidR="009418CF" w:rsidRPr="00707A47">
        <w:rPr>
          <w:rFonts w:ascii="Arial" w:hAnsi="Arial" w:cs="Arial"/>
          <w:spacing w:val="-2"/>
          <w:sz w:val="24"/>
          <w:szCs w:val="24"/>
        </w:rPr>
        <w:t xml:space="preserve"> </w:t>
      </w:r>
      <w:r w:rsidR="009418CF" w:rsidRPr="00707A47">
        <w:rPr>
          <w:rFonts w:ascii="Arial" w:hAnsi="Arial" w:cs="Arial"/>
          <w:sz w:val="24"/>
          <w:szCs w:val="24"/>
        </w:rPr>
        <w:t>my</w:t>
      </w:r>
      <w:r w:rsidR="009418CF" w:rsidRPr="00707A47">
        <w:rPr>
          <w:rFonts w:ascii="Arial" w:hAnsi="Arial" w:cs="Arial"/>
          <w:spacing w:val="-2"/>
          <w:sz w:val="24"/>
          <w:szCs w:val="24"/>
        </w:rPr>
        <w:t xml:space="preserve"> </w:t>
      </w:r>
      <w:r w:rsidR="009418CF" w:rsidRPr="00707A47">
        <w:rPr>
          <w:rFonts w:ascii="Arial" w:hAnsi="Arial" w:cs="Arial"/>
          <w:sz w:val="24"/>
          <w:szCs w:val="24"/>
        </w:rPr>
        <w:t>client</w:t>
      </w:r>
      <w:r w:rsidR="009418CF" w:rsidRPr="00707A47">
        <w:rPr>
          <w:rFonts w:ascii="Arial" w:hAnsi="Arial" w:cs="Arial"/>
          <w:spacing w:val="-2"/>
          <w:sz w:val="24"/>
          <w:szCs w:val="24"/>
        </w:rPr>
        <w:t xml:space="preserve"> </w:t>
      </w:r>
      <w:r w:rsidR="009418CF" w:rsidRPr="00707A47">
        <w:rPr>
          <w:rFonts w:ascii="Arial" w:hAnsi="Arial" w:cs="Arial"/>
          <w:sz w:val="24"/>
          <w:szCs w:val="24"/>
        </w:rPr>
        <w:t>so</w:t>
      </w:r>
      <w:r w:rsidR="009418CF" w:rsidRPr="00707A47">
        <w:rPr>
          <w:rFonts w:ascii="Arial" w:hAnsi="Arial" w:cs="Arial"/>
          <w:spacing w:val="-2"/>
          <w:sz w:val="24"/>
          <w:szCs w:val="24"/>
        </w:rPr>
        <w:t xml:space="preserve"> </w:t>
      </w:r>
      <w:r w:rsidR="009418CF" w:rsidRPr="00707A47">
        <w:rPr>
          <w:rFonts w:ascii="Arial" w:hAnsi="Arial" w:cs="Arial"/>
          <w:sz w:val="24"/>
          <w:szCs w:val="24"/>
        </w:rPr>
        <w:t>that</w:t>
      </w:r>
      <w:r w:rsidR="009418CF" w:rsidRPr="00707A47">
        <w:rPr>
          <w:rFonts w:ascii="Arial" w:hAnsi="Arial" w:cs="Arial"/>
          <w:spacing w:val="-2"/>
          <w:sz w:val="24"/>
          <w:szCs w:val="24"/>
        </w:rPr>
        <w:t xml:space="preserve"> </w:t>
      </w:r>
      <w:r w:rsidR="009418CF" w:rsidRPr="00707A47">
        <w:rPr>
          <w:rFonts w:ascii="Arial" w:hAnsi="Arial" w:cs="Arial"/>
          <w:sz w:val="24"/>
          <w:szCs w:val="24"/>
        </w:rPr>
        <w:t>you may serve her with process. I will not provide you with that address. If you need to serve her with process, it may be</w:t>
      </w:r>
      <w:r w:rsidR="00826D4C" w:rsidRPr="00707A47">
        <w:rPr>
          <w:rFonts w:ascii="Arial" w:hAnsi="Arial" w:cs="Arial"/>
          <w:sz w:val="24"/>
          <w:szCs w:val="24"/>
        </w:rPr>
        <w:t xml:space="preserve"> done through me.</w:t>
      </w:r>
      <w:r w:rsidR="005F3725">
        <w:rPr>
          <w:rFonts w:ascii="Arial" w:hAnsi="Arial" w:cs="Arial"/>
          <w:sz w:val="24"/>
          <w:szCs w:val="24"/>
        </w:rPr>
        <w:t>”)</w:t>
      </w:r>
      <w:r w:rsidR="00826D4C" w:rsidRPr="00707A47">
        <w:rPr>
          <w:rStyle w:val="FootnoteReference"/>
          <w:rFonts w:ascii="Arial" w:hAnsi="Arial" w:cs="Arial"/>
          <w:spacing w:val="-2"/>
          <w:sz w:val="24"/>
          <w:szCs w:val="24"/>
        </w:rPr>
        <w:footnoteReference w:id="10"/>
      </w:r>
      <w:r w:rsidR="00BC1150" w:rsidRPr="00707A47">
        <w:rPr>
          <w:rFonts w:ascii="Arial" w:hAnsi="Arial" w:cs="Arial"/>
          <w:sz w:val="24"/>
          <w:szCs w:val="24"/>
        </w:rPr>
        <w:t xml:space="preserve"> </w:t>
      </w:r>
      <w:bookmarkStart w:id="4" w:name="_bookmark2"/>
      <w:bookmarkEnd w:id="4"/>
    </w:p>
    <w:p w14:paraId="1C567046" w14:textId="77777777" w:rsidR="005F3725" w:rsidRPr="005F3725" w:rsidRDefault="005F3725" w:rsidP="005F3725">
      <w:pPr>
        <w:pStyle w:val="ListParagraph"/>
        <w:widowControl w:val="0"/>
        <w:tabs>
          <w:tab w:val="left" w:pos="2284"/>
        </w:tabs>
        <w:autoSpaceDE w:val="0"/>
        <w:autoSpaceDN w:val="0"/>
        <w:spacing w:after="0" w:line="247" w:lineRule="auto"/>
        <w:ind w:left="1440"/>
        <w:contextualSpacing w:val="0"/>
        <w:jc w:val="both"/>
        <w:rPr>
          <w:rFonts w:ascii="Arial" w:hAnsi="Arial" w:cs="Arial"/>
          <w:sz w:val="12"/>
          <w:szCs w:val="12"/>
        </w:rPr>
      </w:pPr>
    </w:p>
    <w:p w14:paraId="133CD057" w14:textId="356A8086" w:rsidR="00707A47" w:rsidRPr="00630C57" w:rsidRDefault="009418CF" w:rsidP="00707A47">
      <w:pPr>
        <w:pStyle w:val="ListParagraph"/>
        <w:widowControl w:val="0"/>
        <w:numPr>
          <w:ilvl w:val="1"/>
          <w:numId w:val="42"/>
        </w:numPr>
        <w:tabs>
          <w:tab w:val="left" w:pos="2284"/>
        </w:tabs>
        <w:autoSpaceDE w:val="0"/>
        <w:autoSpaceDN w:val="0"/>
        <w:spacing w:after="0" w:line="247" w:lineRule="auto"/>
        <w:ind w:left="1440" w:hanging="720"/>
        <w:contextualSpacing w:val="0"/>
        <w:jc w:val="both"/>
        <w:rPr>
          <w:rFonts w:ascii="Arial" w:hAnsi="Arial" w:cs="Arial"/>
          <w:sz w:val="24"/>
          <w:szCs w:val="24"/>
        </w:rPr>
      </w:pPr>
      <w:r w:rsidRPr="00707A47">
        <w:rPr>
          <w:rFonts w:ascii="Arial" w:hAnsi="Arial" w:cs="Arial"/>
          <w:sz w:val="24"/>
          <w:szCs w:val="24"/>
        </w:rPr>
        <w:t>Although the “gifts” she presently alleges she received from her father are a central factual issue here (also relied on heavily by the other conspirators) she has refused to provide any banking information directly related to the alleged interest she received. (</w:t>
      </w:r>
      <w:r w:rsidR="00CB0500">
        <w:rPr>
          <w:rFonts w:ascii="Arial" w:hAnsi="Arial" w:cs="Arial"/>
          <w:sz w:val="24"/>
          <w:szCs w:val="24"/>
        </w:rPr>
        <w:t>Atty Hymes:</w:t>
      </w:r>
      <w:r w:rsidRPr="00707A47">
        <w:rPr>
          <w:rFonts w:ascii="Arial" w:hAnsi="Arial" w:cs="Arial"/>
          <w:sz w:val="24"/>
          <w:szCs w:val="24"/>
        </w:rPr>
        <w:t xml:space="preserve"> “Access to the financial records of Island Appliances and my clients will not be granted. </w:t>
      </w:r>
      <w:r w:rsidRPr="00707A47">
        <w:rPr>
          <w:rFonts w:ascii="Arial" w:hAnsi="Arial" w:cs="Arial"/>
          <w:b/>
          <w:sz w:val="24"/>
          <w:szCs w:val="24"/>
        </w:rPr>
        <w:t>Your clients have denied making any payments of interest. Therefore, they have no reason to</w:t>
      </w:r>
      <w:r w:rsidRPr="00707A47">
        <w:rPr>
          <w:rFonts w:ascii="Arial" w:hAnsi="Arial" w:cs="Arial"/>
          <w:b/>
          <w:spacing w:val="20"/>
          <w:sz w:val="24"/>
          <w:szCs w:val="24"/>
        </w:rPr>
        <w:t xml:space="preserve"> </w:t>
      </w:r>
      <w:r w:rsidRPr="00707A47">
        <w:rPr>
          <w:rFonts w:ascii="Arial" w:hAnsi="Arial" w:cs="Arial"/>
          <w:b/>
          <w:sz w:val="24"/>
          <w:szCs w:val="24"/>
        </w:rPr>
        <w:t>look</w:t>
      </w:r>
      <w:r w:rsidRPr="00707A47">
        <w:rPr>
          <w:rFonts w:ascii="Arial" w:hAnsi="Arial" w:cs="Arial"/>
          <w:b/>
          <w:spacing w:val="20"/>
          <w:sz w:val="24"/>
          <w:szCs w:val="24"/>
        </w:rPr>
        <w:t xml:space="preserve"> </w:t>
      </w:r>
      <w:r w:rsidRPr="00707A47">
        <w:rPr>
          <w:rFonts w:ascii="Arial" w:hAnsi="Arial" w:cs="Arial"/>
          <w:b/>
          <w:sz w:val="24"/>
          <w:szCs w:val="24"/>
        </w:rPr>
        <w:t>in</w:t>
      </w:r>
      <w:r w:rsidRPr="00707A47">
        <w:rPr>
          <w:rFonts w:ascii="Arial" w:hAnsi="Arial" w:cs="Arial"/>
          <w:b/>
          <w:spacing w:val="20"/>
          <w:sz w:val="24"/>
          <w:szCs w:val="24"/>
        </w:rPr>
        <w:t xml:space="preserve"> </w:t>
      </w:r>
      <w:r w:rsidRPr="00707A47">
        <w:rPr>
          <w:rFonts w:ascii="Arial" w:hAnsi="Arial" w:cs="Arial"/>
          <w:b/>
          <w:sz w:val="24"/>
          <w:szCs w:val="24"/>
        </w:rPr>
        <w:t>bank</w:t>
      </w:r>
      <w:r w:rsidRPr="00707A47">
        <w:rPr>
          <w:rFonts w:ascii="Arial" w:hAnsi="Arial" w:cs="Arial"/>
          <w:b/>
          <w:spacing w:val="20"/>
          <w:sz w:val="24"/>
          <w:szCs w:val="24"/>
        </w:rPr>
        <w:t xml:space="preserve"> </w:t>
      </w:r>
      <w:r w:rsidRPr="00707A47">
        <w:rPr>
          <w:rFonts w:ascii="Arial" w:hAnsi="Arial" w:cs="Arial"/>
          <w:b/>
          <w:sz w:val="24"/>
          <w:szCs w:val="24"/>
        </w:rPr>
        <w:t>accounts</w:t>
      </w:r>
      <w:r w:rsidRPr="00707A47">
        <w:rPr>
          <w:rFonts w:ascii="Arial" w:hAnsi="Arial" w:cs="Arial"/>
          <w:b/>
          <w:spacing w:val="20"/>
          <w:sz w:val="24"/>
          <w:szCs w:val="24"/>
        </w:rPr>
        <w:t xml:space="preserve"> </w:t>
      </w:r>
      <w:r w:rsidRPr="00707A47">
        <w:rPr>
          <w:rFonts w:ascii="Arial" w:hAnsi="Arial" w:cs="Arial"/>
          <w:b/>
          <w:sz w:val="24"/>
          <w:szCs w:val="24"/>
        </w:rPr>
        <w:t>for</w:t>
      </w:r>
      <w:r w:rsidRPr="00707A47">
        <w:rPr>
          <w:rFonts w:ascii="Arial" w:hAnsi="Arial" w:cs="Arial"/>
          <w:b/>
          <w:spacing w:val="20"/>
          <w:sz w:val="24"/>
          <w:szCs w:val="24"/>
        </w:rPr>
        <w:t xml:space="preserve"> </w:t>
      </w:r>
      <w:r w:rsidRPr="00707A47">
        <w:rPr>
          <w:rFonts w:ascii="Arial" w:hAnsi="Arial" w:cs="Arial"/>
          <w:b/>
          <w:sz w:val="24"/>
          <w:szCs w:val="24"/>
        </w:rPr>
        <w:t>those</w:t>
      </w:r>
      <w:r w:rsidRPr="00707A47">
        <w:rPr>
          <w:rFonts w:ascii="Arial" w:hAnsi="Arial" w:cs="Arial"/>
          <w:b/>
          <w:spacing w:val="20"/>
          <w:sz w:val="24"/>
          <w:szCs w:val="24"/>
        </w:rPr>
        <w:t xml:space="preserve"> </w:t>
      </w:r>
      <w:r w:rsidRPr="00707A47">
        <w:rPr>
          <w:rFonts w:ascii="Arial" w:hAnsi="Arial" w:cs="Arial"/>
          <w:b/>
          <w:sz w:val="24"/>
          <w:szCs w:val="24"/>
        </w:rPr>
        <w:t>funds</w:t>
      </w:r>
      <w:r w:rsidRPr="00707A47">
        <w:rPr>
          <w:rFonts w:ascii="Arial" w:hAnsi="Arial" w:cs="Arial"/>
          <w:sz w:val="24"/>
          <w:szCs w:val="24"/>
        </w:rPr>
        <w:t>.”)</w:t>
      </w:r>
      <w:r w:rsidRPr="00707A47">
        <w:rPr>
          <w:rFonts w:ascii="Arial" w:hAnsi="Arial" w:cs="Arial"/>
          <w:spacing w:val="30"/>
          <w:sz w:val="24"/>
          <w:szCs w:val="24"/>
        </w:rPr>
        <w:t xml:space="preserve"> </w:t>
      </w:r>
      <w:r w:rsidRPr="00707A47">
        <w:rPr>
          <w:rFonts w:ascii="Arial" w:hAnsi="Arial" w:cs="Arial"/>
          <w:spacing w:val="-2"/>
          <w:sz w:val="24"/>
          <w:szCs w:val="24"/>
        </w:rPr>
        <w:t>(Emphasis</w:t>
      </w:r>
      <w:r w:rsidR="00707A47" w:rsidRPr="00707A47">
        <w:rPr>
          <w:rFonts w:ascii="Arial" w:hAnsi="Arial" w:cs="Arial"/>
          <w:spacing w:val="-2"/>
          <w:sz w:val="24"/>
          <w:szCs w:val="24"/>
        </w:rPr>
        <w:t xml:space="preserve"> added.)</w:t>
      </w:r>
      <w:r w:rsidR="00707A47" w:rsidRPr="00707A47">
        <w:rPr>
          <w:rStyle w:val="FootnoteReference"/>
          <w:rFonts w:ascii="Arial" w:hAnsi="Arial" w:cs="Arial"/>
          <w:spacing w:val="-2"/>
          <w:sz w:val="24"/>
          <w:szCs w:val="24"/>
        </w:rPr>
        <w:footnoteReference w:id="11"/>
      </w:r>
      <w:bookmarkStart w:id="5" w:name="_bookmark3"/>
      <w:bookmarkEnd w:id="5"/>
    </w:p>
    <w:p w14:paraId="51C8C348" w14:textId="77777777" w:rsidR="00630C57" w:rsidRPr="00630C57" w:rsidRDefault="00630C57" w:rsidP="00630C57">
      <w:pPr>
        <w:widowControl w:val="0"/>
        <w:tabs>
          <w:tab w:val="left" w:pos="2284"/>
        </w:tabs>
        <w:autoSpaceDE w:val="0"/>
        <w:autoSpaceDN w:val="0"/>
        <w:spacing w:line="247" w:lineRule="auto"/>
        <w:jc w:val="both"/>
        <w:rPr>
          <w:rFonts w:cs="Arial"/>
          <w:sz w:val="12"/>
          <w:szCs w:val="12"/>
        </w:rPr>
      </w:pPr>
    </w:p>
    <w:p w14:paraId="774A6339" w14:textId="692C724E" w:rsidR="009418CF" w:rsidRPr="00707A47" w:rsidRDefault="009418CF" w:rsidP="00707A47">
      <w:pPr>
        <w:pStyle w:val="ListParagraph"/>
        <w:widowControl w:val="0"/>
        <w:numPr>
          <w:ilvl w:val="1"/>
          <w:numId w:val="42"/>
        </w:numPr>
        <w:tabs>
          <w:tab w:val="left" w:pos="2284"/>
        </w:tabs>
        <w:autoSpaceDE w:val="0"/>
        <w:autoSpaceDN w:val="0"/>
        <w:spacing w:after="0" w:line="247" w:lineRule="auto"/>
        <w:ind w:left="1440" w:hanging="720"/>
        <w:contextualSpacing w:val="0"/>
        <w:jc w:val="both"/>
        <w:rPr>
          <w:rFonts w:ascii="Arial" w:hAnsi="Arial" w:cs="Arial"/>
          <w:sz w:val="24"/>
          <w:szCs w:val="24"/>
        </w:rPr>
      </w:pPr>
      <w:r w:rsidRPr="00707A47">
        <w:rPr>
          <w:rFonts w:ascii="Arial" w:hAnsi="Arial" w:cs="Arial"/>
          <w:sz w:val="24"/>
          <w:szCs w:val="24"/>
        </w:rPr>
        <w:t>She</w:t>
      </w:r>
      <w:r w:rsidRPr="00707A47">
        <w:rPr>
          <w:rFonts w:ascii="Arial" w:hAnsi="Arial" w:cs="Arial"/>
          <w:spacing w:val="-4"/>
          <w:sz w:val="24"/>
          <w:szCs w:val="24"/>
        </w:rPr>
        <w:t xml:space="preserve"> </w:t>
      </w:r>
      <w:r w:rsidRPr="00707A47">
        <w:rPr>
          <w:rFonts w:ascii="Arial" w:hAnsi="Arial" w:cs="Arial"/>
          <w:sz w:val="24"/>
          <w:szCs w:val="24"/>
        </w:rPr>
        <w:t>has,</w:t>
      </w:r>
      <w:r w:rsidRPr="00707A47">
        <w:rPr>
          <w:rFonts w:ascii="Arial" w:hAnsi="Arial" w:cs="Arial"/>
          <w:spacing w:val="-4"/>
          <w:sz w:val="24"/>
          <w:szCs w:val="24"/>
        </w:rPr>
        <w:t xml:space="preserve"> </w:t>
      </w:r>
      <w:r w:rsidRPr="00707A47">
        <w:rPr>
          <w:rFonts w:ascii="Arial" w:hAnsi="Arial" w:cs="Arial"/>
          <w:sz w:val="24"/>
          <w:szCs w:val="24"/>
        </w:rPr>
        <w:t>recently,</w:t>
      </w:r>
      <w:r w:rsidRPr="00707A47">
        <w:rPr>
          <w:rFonts w:ascii="Arial" w:hAnsi="Arial" w:cs="Arial"/>
          <w:spacing w:val="-4"/>
          <w:sz w:val="24"/>
          <w:szCs w:val="24"/>
        </w:rPr>
        <w:t xml:space="preserve"> </w:t>
      </w:r>
      <w:r w:rsidRPr="00707A47">
        <w:rPr>
          <w:rFonts w:ascii="Arial" w:hAnsi="Arial" w:cs="Arial"/>
          <w:sz w:val="24"/>
          <w:szCs w:val="24"/>
        </w:rPr>
        <w:t>first</w:t>
      </w:r>
      <w:r w:rsidRPr="00707A47">
        <w:rPr>
          <w:rFonts w:ascii="Arial" w:hAnsi="Arial" w:cs="Arial"/>
          <w:spacing w:val="-4"/>
          <w:sz w:val="24"/>
          <w:szCs w:val="24"/>
        </w:rPr>
        <w:t xml:space="preserve"> </w:t>
      </w:r>
      <w:r w:rsidRPr="00707A47">
        <w:rPr>
          <w:rFonts w:ascii="Arial" w:hAnsi="Arial" w:cs="Arial"/>
          <w:sz w:val="24"/>
          <w:szCs w:val="24"/>
        </w:rPr>
        <w:t>asserted</w:t>
      </w:r>
      <w:r w:rsidRPr="00707A47">
        <w:rPr>
          <w:rFonts w:ascii="Arial" w:hAnsi="Arial" w:cs="Arial"/>
          <w:spacing w:val="-4"/>
          <w:sz w:val="24"/>
          <w:szCs w:val="24"/>
        </w:rPr>
        <w:t xml:space="preserve"> </w:t>
      </w:r>
      <w:r w:rsidR="00CB0500">
        <w:rPr>
          <w:rFonts w:ascii="Arial" w:hAnsi="Arial" w:cs="Arial"/>
          <w:sz w:val="24"/>
          <w:szCs w:val="24"/>
        </w:rPr>
        <w:t>a new,</w:t>
      </w:r>
      <w:r w:rsidRPr="00707A47">
        <w:rPr>
          <w:rFonts w:ascii="Arial" w:hAnsi="Arial" w:cs="Arial"/>
          <w:spacing w:val="-4"/>
          <w:sz w:val="24"/>
          <w:szCs w:val="24"/>
        </w:rPr>
        <w:t xml:space="preserve"> </w:t>
      </w:r>
      <w:r w:rsidRPr="00707A47">
        <w:rPr>
          <w:rFonts w:ascii="Arial" w:hAnsi="Arial" w:cs="Arial"/>
          <w:sz w:val="24"/>
          <w:szCs w:val="24"/>
        </w:rPr>
        <w:t>preposterous story to explain wh</w:t>
      </w:r>
      <w:r w:rsidR="00CB0500">
        <w:rPr>
          <w:rFonts w:ascii="Arial" w:hAnsi="Arial" w:cs="Arial"/>
          <w:sz w:val="24"/>
          <w:szCs w:val="24"/>
        </w:rPr>
        <w:t>y</w:t>
      </w:r>
      <w:r w:rsidRPr="00707A47">
        <w:rPr>
          <w:rFonts w:ascii="Arial" w:hAnsi="Arial" w:cs="Arial"/>
          <w:sz w:val="24"/>
          <w:szCs w:val="24"/>
        </w:rPr>
        <w:t xml:space="preserve"> she has no documents or proof of receiving a million dollars in untaxed income—and at the same time</w:t>
      </w:r>
      <w:r w:rsidR="00CB0500">
        <w:rPr>
          <w:rFonts w:ascii="Arial" w:hAnsi="Arial" w:cs="Arial"/>
          <w:sz w:val="24"/>
          <w:szCs w:val="24"/>
        </w:rPr>
        <w:t xml:space="preserve">, she has first </w:t>
      </w:r>
      <w:r w:rsidRPr="00707A47">
        <w:rPr>
          <w:rFonts w:ascii="Arial" w:hAnsi="Arial" w:cs="Arial"/>
          <w:sz w:val="24"/>
          <w:szCs w:val="24"/>
        </w:rPr>
        <w:t xml:space="preserve">stated </w:t>
      </w:r>
      <w:r w:rsidR="00CB0500">
        <w:rPr>
          <w:rFonts w:ascii="Arial" w:hAnsi="Arial" w:cs="Arial"/>
          <w:sz w:val="24"/>
          <w:szCs w:val="24"/>
        </w:rPr>
        <w:t xml:space="preserve">that </w:t>
      </w:r>
      <w:r w:rsidRPr="00707A47">
        <w:rPr>
          <w:rFonts w:ascii="Arial" w:hAnsi="Arial" w:cs="Arial"/>
          <w:sz w:val="24"/>
          <w:szCs w:val="24"/>
        </w:rPr>
        <w:t xml:space="preserve">she </w:t>
      </w:r>
      <w:r w:rsidR="00CB0500">
        <w:rPr>
          <w:rFonts w:ascii="Arial" w:hAnsi="Arial" w:cs="Arial"/>
          <w:sz w:val="24"/>
          <w:szCs w:val="24"/>
        </w:rPr>
        <w:t>neither has of had b</w:t>
      </w:r>
      <w:r w:rsidRPr="00707A47">
        <w:rPr>
          <w:rFonts w:ascii="Arial" w:hAnsi="Arial" w:cs="Arial"/>
          <w:sz w:val="24"/>
          <w:szCs w:val="24"/>
        </w:rPr>
        <w:t>ank or other accounts of any type:</w:t>
      </w:r>
    </w:p>
    <w:bookmarkEnd w:id="1"/>
    <w:p w14:paraId="30565CB9" w14:textId="144298B3" w:rsidR="001259BB" w:rsidRDefault="009418CF" w:rsidP="009D07B0">
      <w:pPr>
        <w:pStyle w:val="BodyText"/>
        <w:widowControl/>
        <w:spacing w:line="480" w:lineRule="auto"/>
        <w:ind w:firstLine="720"/>
        <w:jc w:val="both"/>
        <w:outlineLvl w:val="0"/>
      </w:pPr>
      <w:r w:rsidRPr="00707A47">
        <w:lastRenderedPageBreak/>
        <w:t xml:space="preserve">Certainly, these </w:t>
      </w:r>
      <w:r w:rsidR="00CB0500">
        <w:t xml:space="preserve">recent transgressions </w:t>
      </w:r>
      <w:r w:rsidRPr="00707A47">
        <w:t xml:space="preserve">are just allegations currently, but </w:t>
      </w:r>
      <w:r w:rsidR="005F3725">
        <w:t xml:space="preserve">they are </w:t>
      </w:r>
      <w:r w:rsidR="00000BF6">
        <w:t xml:space="preserve">all: </w:t>
      </w:r>
      <w:r w:rsidR="009E3A7A">
        <w:t xml:space="preserve">(1) </w:t>
      </w:r>
      <w:r w:rsidR="00000BF6">
        <w:t xml:space="preserve">recent, </w:t>
      </w:r>
      <w:r w:rsidR="009E3A7A">
        <w:t xml:space="preserve">(2) </w:t>
      </w:r>
      <w:r w:rsidR="005F3725">
        <w:t xml:space="preserve">post-FAC, </w:t>
      </w:r>
      <w:r w:rsidR="009E3A7A">
        <w:t xml:space="preserve">(3) </w:t>
      </w:r>
      <w:r w:rsidR="005F3725">
        <w:t xml:space="preserve">extremely material to the claims here, </w:t>
      </w:r>
      <w:r w:rsidR="0066667C">
        <w:t>and</w:t>
      </w:r>
      <w:r w:rsidR="005F3725">
        <w:t xml:space="preserve"> </w:t>
      </w:r>
      <w:r w:rsidR="009E3A7A">
        <w:t xml:space="preserve">(4) </w:t>
      </w:r>
      <w:r w:rsidR="005F3725">
        <w:t>as</w:t>
      </w:r>
      <w:r w:rsidR="00000BF6">
        <w:t xml:space="preserve"> is</w:t>
      </w:r>
      <w:r w:rsidR="005F3725">
        <w:t xml:space="preserve"> the case with </w:t>
      </w:r>
      <w:r w:rsidRPr="00707A47">
        <w:t xml:space="preserve">any complaint, </w:t>
      </w:r>
      <w:r w:rsidR="00000BF6">
        <w:t xml:space="preserve">within the </w:t>
      </w:r>
      <w:r w:rsidRPr="00707A47">
        <w:t xml:space="preserve">purview of the Plaintiff at this stage of the proceedings. </w:t>
      </w:r>
      <w:r w:rsidR="00CB0500">
        <w:t xml:space="preserve">The motion and Hamed’s motion to compel Isam’s banking records both demonstrate the existence of </w:t>
      </w:r>
      <w:r w:rsidRPr="00707A47">
        <w:t>significant factual</w:t>
      </w:r>
      <w:r w:rsidRPr="00707A47">
        <w:rPr>
          <w:spacing w:val="40"/>
        </w:rPr>
        <w:t xml:space="preserve"> </w:t>
      </w:r>
      <w:r w:rsidRPr="00707A47">
        <w:t xml:space="preserve">and documentary support for these </w:t>
      </w:r>
      <w:r w:rsidR="005F3725">
        <w:t>allegations</w:t>
      </w:r>
      <w:r w:rsidR="00CB0500">
        <w:t>—far exceeding t</w:t>
      </w:r>
      <w:r w:rsidR="005F3725">
        <w:t>he low bar of notice pleading</w:t>
      </w:r>
      <w:r w:rsidRPr="00707A47">
        <w:t xml:space="preserve">. </w:t>
      </w:r>
    </w:p>
    <w:p w14:paraId="4599360D" w14:textId="267CE9F5" w:rsidR="001645A3" w:rsidRPr="001645A3" w:rsidRDefault="009D07B0" w:rsidP="009D07B0">
      <w:pPr>
        <w:pStyle w:val="BodyText"/>
        <w:widowControl/>
        <w:spacing w:line="480" w:lineRule="auto"/>
        <w:ind w:left="-288"/>
        <w:jc w:val="both"/>
        <w:outlineLvl w:val="0"/>
        <w:rPr>
          <w:i/>
          <w:iCs/>
        </w:rPr>
      </w:pPr>
      <w:r>
        <w:rPr>
          <w:i/>
          <w:iCs/>
        </w:rPr>
        <w:t xml:space="preserve">3. </w:t>
      </w:r>
      <w:r w:rsidR="001645A3" w:rsidRPr="001645A3">
        <w:rPr>
          <w:i/>
          <w:iCs/>
        </w:rPr>
        <w:t>At 2, (numbered section I): “Plaintiff seeks more than to just add a party.”</w:t>
      </w:r>
    </w:p>
    <w:p w14:paraId="274D3260" w14:textId="0499EB3C" w:rsidR="007E2374" w:rsidRDefault="007E2374" w:rsidP="007E2374">
      <w:pPr>
        <w:pStyle w:val="BodyText"/>
        <w:widowControl/>
        <w:spacing w:line="480" w:lineRule="auto"/>
        <w:ind w:firstLine="720"/>
        <w:jc w:val="both"/>
        <w:outlineLvl w:val="0"/>
      </w:pPr>
      <w:r>
        <w:t>Contrary to both the accusations in the opposition and its tone</w:t>
      </w:r>
      <w:r w:rsidR="0096577B">
        <w:t>—</w:t>
      </w:r>
      <w:r>
        <w:t>and totally in line with the idea of changing “facts” in amendments</w:t>
      </w:r>
      <w:r w:rsidR="0096577B">
        <w:t>—</w:t>
      </w:r>
      <w:r w:rsidRPr="005F3725">
        <w:rPr>
          <w:i/>
          <w:iCs/>
        </w:rPr>
        <w:t xml:space="preserve">Hamed has not changed a single word in the actual “counts.” No legal theory has been altered </w:t>
      </w:r>
      <w:r w:rsidRPr="00BA3449">
        <w:rPr>
          <w:i/>
          <w:iCs/>
          <w:u w:val="single"/>
        </w:rPr>
        <w:t>at all</w:t>
      </w:r>
      <w:r w:rsidRPr="005F3725">
        <w:rPr>
          <w:i/>
          <w:iCs/>
        </w:rPr>
        <w:t xml:space="preserve"> and none have been added. </w:t>
      </w:r>
    </w:p>
    <w:p w14:paraId="4B314C22" w14:textId="4652B0A1" w:rsidR="00774A14" w:rsidRDefault="0085092E" w:rsidP="0085092E">
      <w:pPr>
        <w:pStyle w:val="BodyText"/>
        <w:widowControl/>
        <w:spacing w:line="480" w:lineRule="auto"/>
        <w:ind w:firstLine="720"/>
        <w:jc w:val="both"/>
        <w:outlineLvl w:val="0"/>
      </w:pPr>
      <w:r>
        <w:t xml:space="preserve">The </w:t>
      </w:r>
      <w:r w:rsidR="007E2374">
        <w:t>Second Amended Complaint (“SAC”)</w:t>
      </w:r>
      <w:r>
        <w:t xml:space="preserve"> </w:t>
      </w:r>
      <w:r w:rsidR="007E2374">
        <w:t xml:space="preserve">adds </w:t>
      </w:r>
      <w:r w:rsidR="001259BB">
        <w:t xml:space="preserve">both Manal’s name </w:t>
      </w:r>
      <w:r w:rsidR="001259BB" w:rsidRPr="001259BB">
        <w:rPr>
          <w:i/>
          <w:iCs/>
          <w:u w:val="single"/>
        </w:rPr>
        <w:t>and</w:t>
      </w:r>
      <w:r w:rsidR="001259BB">
        <w:t xml:space="preserve"> </w:t>
      </w:r>
      <w:r>
        <w:t>Manal</w:t>
      </w:r>
      <w:r w:rsidR="002D0E3C">
        <w:t>’s participation in the conspiracy</w:t>
      </w:r>
      <w:r w:rsidR="001259BB">
        <w:t xml:space="preserve">. Thus, it </w:t>
      </w:r>
      <w:r w:rsidR="00CB0500">
        <w:t>quite properly</w:t>
      </w:r>
      <w:r>
        <w:t xml:space="preserve"> </w:t>
      </w:r>
      <w:r w:rsidR="005F3725">
        <w:t xml:space="preserve">adds facts that </w:t>
      </w:r>
      <w:r>
        <w:t xml:space="preserve">describe </w:t>
      </w:r>
      <w:r w:rsidR="005F3725">
        <w:t xml:space="preserve">both the </w:t>
      </w:r>
      <w:r>
        <w:t xml:space="preserve">several effects </w:t>
      </w:r>
      <w:r w:rsidR="005F3725">
        <w:t xml:space="preserve">and implications </w:t>
      </w:r>
      <w:r>
        <w:t xml:space="preserve">of </w:t>
      </w:r>
      <w:r w:rsidR="002D0E3C">
        <w:t>that</w:t>
      </w:r>
      <w:r>
        <w:t xml:space="preserve"> involvement</w:t>
      </w:r>
      <w:r w:rsidR="007E2374">
        <w:t>. Thus</w:t>
      </w:r>
      <w:r w:rsidR="00CB0500">
        <w:t>,</w:t>
      </w:r>
      <w:r w:rsidR="007E2374">
        <w:t xml:space="preserve"> changes were made to</w:t>
      </w:r>
      <w:r w:rsidR="005F3725">
        <w:t xml:space="preserve"> the following </w:t>
      </w:r>
      <w:r w:rsidR="001812B3">
        <w:t>p</w:t>
      </w:r>
      <w:r>
        <w:t xml:space="preserve">aragraphs </w:t>
      </w:r>
      <w:r w:rsidR="005F3725">
        <w:t>for four allowable, related reasons:</w:t>
      </w:r>
    </w:p>
    <w:p w14:paraId="2038660E" w14:textId="21DEB480" w:rsidR="001812B3" w:rsidRDefault="005F3725" w:rsidP="00AD20ED">
      <w:pPr>
        <w:pStyle w:val="BodyText"/>
        <w:widowControl/>
        <w:numPr>
          <w:ilvl w:val="0"/>
          <w:numId w:val="43"/>
        </w:numPr>
        <w:jc w:val="both"/>
        <w:outlineLvl w:val="0"/>
      </w:pPr>
      <w:r>
        <w:t>To d</w:t>
      </w:r>
      <w:r w:rsidR="007E6613">
        <w:t>irectly insert her</w:t>
      </w:r>
      <w:r w:rsidR="00AD20ED">
        <w:t xml:space="preserve">, </w:t>
      </w:r>
      <w:r w:rsidR="002D0E3C">
        <w:t xml:space="preserve">and </w:t>
      </w:r>
      <w:r w:rsidR="00AD20ED">
        <w:t xml:space="preserve">give Hamed’s </w:t>
      </w:r>
      <w:r w:rsidR="002D0E3C">
        <w:t xml:space="preserve">factual </w:t>
      </w:r>
      <w:r w:rsidR="00AD20ED">
        <w:t xml:space="preserve">view of </w:t>
      </w:r>
      <w:r w:rsidR="002D0E3C">
        <w:t xml:space="preserve">both </w:t>
      </w:r>
      <w:r w:rsidR="00AD20ED" w:rsidRPr="002D0E3C">
        <w:rPr>
          <w:i/>
          <w:iCs/>
          <w:u w:val="single"/>
        </w:rPr>
        <w:t>her</w:t>
      </w:r>
      <w:r w:rsidR="00AD20ED">
        <w:t xml:space="preserve"> acts</w:t>
      </w:r>
      <w:r w:rsidR="007E6613">
        <w:t xml:space="preserve"> </w:t>
      </w:r>
      <w:r w:rsidR="002D0E3C">
        <w:t>and her family relationship to the other defendants are important</w:t>
      </w:r>
      <w:r w:rsidR="0085092E">
        <w:t>.</w:t>
      </w:r>
      <w:r w:rsidR="002F06B6">
        <w:t xml:space="preserve"> </w:t>
      </w:r>
      <w:r w:rsidR="002F06B6" w:rsidRPr="007E2374">
        <w:rPr>
          <w:i/>
          <w:iCs/>
        </w:rPr>
        <w:t xml:space="preserve">See, e.g. </w:t>
      </w:r>
      <w:r w:rsidR="007E2374">
        <w:t>p</w:t>
      </w:r>
      <w:r w:rsidR="007E6613">
        <w:t xml:space="preserve">aragraphs </w:t>
      </w:r>
      <w:r w:rsidR="002F06B6">
        <w:t>23</w:t>
      </w:r>
      <w:r w:rsidR="007E6613">
        <w:t xml:space="preserve">, 24, 25, </w:t>
      </w:r>
      <w:r w:rsidR="001812B3">
        <w:t>47,</w:t>
      </w:r>
      <w:r w:rsidR="001812B3">
        <w:rPr>
          <w:rStyle w:val="FootnoteReference"/>
        </w:rPr>
        <w:footnoteReference w:id="12"/>
      </w:r>
      <w:r w:rsidR="001812B3">
        <w:t xml:space="preserve"> 50,</w:t>
      </w:r>
      <w:r w:rsidR="001812B3">
        <w:rPr>
          <w:rStyle w:val="FootnoteReference"/>
        </w:rPr>
        <w:footnoteReference w:id="13"/>
      </w:r>
      <w:r w:rsidR="00AD20ED">
        <w:t xml:space="preserve"> 52, 56, 57, 59, 60, 69, </w:t>
      </w:r>
      <w:r w:rsidR="00CB0500">
        <w:t xml:space="preserve">and </w:t>
      </w:r>
      <w:r w:rsidR="00AD20ED">
        <w:t>72-76</w:t>
      </w:r>
      <w:r w:rsidR="00CB0500">
        <w:t>.</w:t>
      </w:r>
    </w:p>
    <w:p w14:paraId="43C77B8B" w14:textId="77777777" w:rsidR="007E2374" w:rsidRDefault="007E2374" w:rsidP="007E2374">
      <w:pPr>
        <w:pStyle w:val="BodyText"/>
        <w:widowControl/>
        <w:ind w:left="1080"/>
        <w:jc w:val="both"/>
        <w:outlineLvl w:val="0"/>
      </w:pPr>
    </w:p>
    <w:p w14:paraId="75DBE628" w14:textId="55930F4E" w:rsidR="0085092E" w:rsidRDefault="007E2374" w:rsidP="002F06B6">
      <w:pPr>
        <w:pStyle w:val="BodyText"/>
        <w:widowControl/>
        <w:numPr>
          <w:ilvl w:val="0"/>
          <w:numId w:val="43"/>
        </w:numPr>
        <w:jc w:val="both"/>
        <w:outlineLvl w:val="0"/>
      </w:pPr>
      <w:r>
        <w:t xml:space="preserve">Make the point that </w:t>
      </w:r>
      <w:r w:rsidR="00EE03DC">
        <w:t xml:space="preserve">when Manal is also viewed as a defendant, it is clear that </w:t>
      </w:r>
      <w:r>
        <w:t>this was a family</w:t>
      </w:r>
      <w:r w:rsidR="00BA3449">
        <w:t>-based CICO</w:t>
      </w:r>
      <w:r>
        <w:t xml:space="preserve"> conspiracy</w:t>
      </w:r>
      <w:r w:rsidR="00BA3449">
        <w:t xml:space="preserve"> to destroy </w:t>
      </w:r>
      <w:r w:rsidR="00CB0500">
        <w:t xml:space="preserve">the jointly-owned </w:t>
      </w:r>
      <w:r w:rsidR="00BA3449">
        <w:t>Sixteen Plus</w:t>
      </w:r>
      <w:r>
        <w:t>—</w:t>
      </w:r>
      <w:r w:rsidR="002D0E3C">
        <w:t xml:space="preserve">and thus it is important </w:t>
      </w:r>
      <w:r>
        <w:t>that t</w:t>
      </w:r>
      <w:r w:rsidR="0085092E">
        <w:t xml:space="preserve">he </w:t>
      </w:r>
      <w:r w:rsidR="002D0E3C">
        <w:t xml:space="preserve">actual </w:t>
      </w:r>
      <w:r w:rsidR="0085092E">
        <w:t xml:space="preserve">funds </w:t>
      </w:r>
      <w:r w:rsidR="002D0E3C">
        <w:t xml:space="preserve">which were used to purchase the land </w:t>
      </w:r>
      <w:r w:rsidR="0085092E">
        <w:lastRenderedPageBreak/>
        <w:t>were 50/50 the family funds of the Hameds and Yusufs.</w:t>
      </w:r>
      <w:r w:rsidR="00ED2661">
        <w:t xml:space="preserve"> </w:t>
      </w:r>
      <w:r w:rsidR="002F06B6" w:rsidRPr="001812B3">
        <w:rPr>
          <w:i/>
          <w:iCs/>
        </w:rPr>
        <w:t xml:space="preserve">See, </w:t>
      </w:r>
      <w:r w:rsidR="0066667C" w:rsidRPr="001812B3">
        <w:rPr>
          <w:i/>
          <w:iCs/>
        </w:rPr>
        <w:t>e, g</w:t>
      </w:r>
      <w:r w:rsidR="002F06B6" w:rsidRPr="001812B3">
        <w:rPr>
          <w:i/>
          <w:iCs/>
        </w:rPr>
        <w:t>,,</w:t>
      </w:r>
      <w:r w:rsidR="002F06B6">
        <w:t xml:space="preserve"> p</w:t>
      </w:r>
      <w:r w:rsidR="00ED2661">
        <w:t>aragraphs 21,</w:t>
      </w:r>
      <w:r w:rsidR="00ED2661">
        <w:rPr>
          <w:rStyle w:val="FootnoteReference"/>
        </w:rPr>
        <w:footnoteReference w:id="14"/>
      </w:r>
      <w:r w:rsidR="00ED2661">
        <w:t xml:space="preserve"> 22</w:t>
      </w:r>
      <w:r w:rsidR="00F608DC">
        <w:t>,</w:t>
      </w:r>
      <w:r w:rsidR="00ED2661">
        <w:rPr>
          <w:rStyle w:val="FootnoteReference"/>
        </w:rPr>
        <w:footnoteReference w:id="15"/>
      </w:r>
      <w:r w:rsidR="00F608DC">
        <w:t xml:space="preserve"> </w:t>
      </w:r>
      <w:r w:rsidR="00EE03DC">
        <w:t xml:space="preserve">and </w:t>
      </w:r>
      <w:r w:rsidR="00F608DC">
        <w:t>28</w:t>
      </w:r>
      <w:r w:rsidR="00CB0500">
        <w:t>.</w:t>
      </w:r>
      <w:r w:rsidR="00F608DC">
        <w:rPr>
          <w:rStyle w:val="FootnoteReference"/>
        </w:rPr>
        <w:footnoteReference w:id="16"/>
      </w:r>
    </w:p>
    <w:p w14:paraId="6B2BF472" w14:textId="0489C458" w:rsidR="0085092E" w:rsidRDefault="0085092E" w:rsidP="002F06B6">
      <w:pPr>
        <w:pStyle w:val="BodyText"/>
        <w:widowControl/>
        <w:numPr>
          <w:ilvl w:val="0"/>
          <w:numId w:val="43"/>
        </w:numPr>
        <w:jc w:val="both"/>
        <w:outlineLvl w:val="0"/>
      </w:pPr>
      <w:r>
        <w:t xml:space="preserve">Both Wally Hamed and Fathi Yusuf were principal actors along with </w:t>
      </w:r>
      <w:r w:rsidR="007E2374">
        <w:t>Manal</w:t>
      </w:r>
      <w:r>
        <w:t xml:space="preserve">, </w:t>
      </w:r>
      <w:r w:rsidR="00AD20ED">
        <w:t>h</w:t>
      </w:r>
      <w:r>
        <w:t>er brother (Isam) and her nephew (Jamil).</w:t>
      </w:r>
      <w:r w:rsidR="002B5B09">
        <w:t xml:space="preserve"> </w:t>
      </w:r>
      <w:r w:rsidR="001812B3" w:rsidRPr="001812B3">
        <w:rPr>
          <w:i/>
          <w:iCs/>
        </w:rPr>
        <w:t>See, e.g.,</w:t>
      </w:r>
      <w:r w:rsidR="001812B3">
        <w:t xml:space="preserve"> paragraphs</w:t>
      </w:r>
      <w:r w:rsidR="002B5B09">
        <w:t xml:space="preserve"> 19,</w:t>
      </w:r>
      <w:r w:rsidR="002B5B09">
        <w:rPr>
          <w:rStyle w:val="FootnoteReference"/>
        </w:rPr>
        <w:footnoteReference w:id="17"/>
      </w:r>
      <w:r w:rsidR="002B5B09">
        <w:t xml:space="preserve"> 20,</w:t>
      </w:r>
      <w:r w:rsidR="002B5B09">
        <w:rPr>
          <w:rStyle w:val="FootnoteReference"/>
        </w:rPr>
        <w:footnoteReference w:id="18"/>
      </w:r>
      <w:r w:rsidR="00157A9E">
        <w:t xml:space="preserve"> 22,</w:t>
      </w:r>
      <w:r w:rsidR="00157A9E">
        <w:rPr>
          <w:rStyle w:val="FootnoteReference"/>
        </w:rPr>
        <w:footnoteReference w:id="19"/>
      </w:r>
      <w:r w:rsidR="00AD20ED">
        <w:t xml:space="preserve">, </w:t>
      </w:r>
      <w:r w:rsidR="00EE03DC">
        <w:t xml:space="preserve">and </w:t>
      </w:r>
      <w:r w:rsidR="00AD20ED">
        <w:t>79-80</w:t>
      </w:r>
      <w:r w:rsidR="00CB0500">
        <w:t>.</w:t>
      </w:r>
      <w:r w:rsidR="00AD20ED">
        <w:rPr>
          <w:rStyle w:val="FootnoteReference"/>
        </w:rPr>
        <w:footnoteReference w:id="20"/>
      </w:r>
      <w:r w:rsidR="00AD20ED">
        <w:t xml:space="preserve"> </w:t>
      </w:r>
    </w:p>
    <w:p w14:paraId="448C449E" w14:textId="77777777" w:rsidR="002F06B6" w:rsidRDefault="002F06B6" w:rsidP="002F06B6">
      <w:pPr>
        <w:pStyle w:val="BodyText"/>
        <w:widowControl/>
        <w:jc w:val="both"/>
        <w:outlineLvl w:val="0"/>
      </w:pPr>
    </w:p>
    <w:p w14:paraId="5A404123" w14:textId="45159240" w:rsidR="0085092E" w:rsidRDefault="0085092E" w:rsidP="002F06B6">
      <w:pPr>
        <w:pStyle w:val="BodyText"/>
        <w:widowControl/>
        <w:numPr>
          <w:ilvl w:val="0"/>
          <w:numId w:val="43"/>
        </w:numPr>
        <w:jc w:val="both"/>
        <w:outlineLvl w:val="0"/>
      </w:pPr>
      <w:r>
        <w:t xml:space="preserve">And </w:t>
      </w:r>
      <w:r w:rsidR="006E08E1">
        <w:t>finally,</w:t>
      </w:r>
      <w:r>
        <w:t xml:space="preserve"> that both prior criminal litigati</w:t>
      </w:r>
      <w:r w:rsidR="00CD463F">
        <w:t>o</w:t>
      </w:r>
      <w:r>
        <w:t xml:space="preserve">n and investigations have revealed the facts of these family </w:t>
      </w:r>
      <w:r w:rsidR="00CD463F">
        <w:t>relationships and joint action—and thus, all of these facts must certainly be known to her and the other defendants.</w:t>
      </w:r>
      <w:r w:rsidR="001812B3">
        <w:t xml:space="preserve"> </w:t>
      </w:r>
      <w:r w:rsidR="001812B3" w:rsidRPr="001812B3">
        <w:rPr>
          <w:i/>
          <w:iCs/>
        </w:rPr>
        <w:t>See, e.g.,</w:t>
      </w:r>
      <w:r w:rsidR="001812B3">
        <w:t xml:space="preserve"> paragraph 38.</w:t>
      </w:r>
    </w:p>
    <w:p w14:paraId="3F7A6D18" w14:textId="77777777" w:rsidR="00F608DC" w:rsidRDefault="00F608DC" w:rsidP="00F608DC">
      <w:pPr>
        <w:pStyle w:val="BodyText"/>
        <w:widowControl/>
        <w:ind w:left="1080"/>
        <w:jc w:val="both"/>
        <w:outlineLvl w:val="0"/>
      </w:pPr>
    </w:p>
    <w:p w14:paraId="63D37D23" w14:textId="124DE8DD" w:rsidR="007E6613" w:rsidRDefault="007E6613" w:rsidP="00EE03DC">
      <w:pPr>
        <w:pStyle w:val="BodyText"/>
        <w:widowControl/>
        <w:spacing w:line="480" w:lineRule="auto"/>
        <w:ind w:firstLine="720"/>
        <w:jc w:val="both"/>
        <w:outlineLvl w:val="0"/>
      </w:pPr>
      <w:r>
        <w:lastRenderedPageBreak/>
        <w:t xml:space="preserve">Only paragraphs 26 and </w:t>
      </w:r>
      <w:r w:rsidR="00F608DC">
        <w:t>27</w:t>
      </w:r>
      <w:r>
        <w:t xml:space="preserve"> </w:t>
      </w:r>
      <w:r w:rsidR="00CF0A15">
        <w:t xml:space="preserve">arguably </w:t>
      </w:r>
      <w:r>
        <w:t xml:space="preserve">fall outside of such a direct connection. </w:t>
      </w:r>
      <w:r w:rsidR="00F608DC">
        <w:t>However, p</w:t>
      </w:r>
      <w:r>
        <w:t xml:space="preserve">aragraph 26 </w:t>
      </w:r>
      <w:r w:rsidR="00F608DC">
        <w:t xml:space="preserve">explains how the purpose of the false documents was: </w:t>
      </w:r>
      <w:r w:rsidR="00F608DC" w:rsidRPr="00F608DC">
        <w:t xml:space="preserve">“to change the apparent owner of the funds </w:t>
      </w:r>
      <w:r w:rsidR="001812B3">
        <w:t xml:space="preserve">[to Manal] </w:t>
      </w:r>
      <w:r w:rsidR="00F608DC" w:rsidRPr="00F608DC">
        <w:t xml:space="preserve">to evade taxes. . . </w:t>
      </w:r>
      <w:r w:rsidR="00F608DC">
        <w:rPr>
          <w:u w:val="single"/>
        </w:rPr>
        <w:t>.</w:t>
      </w:r>
      <w:r w:rsidR="00F608DC" w:rsidRPr="00F608DC">
        <w:t>” and paragraph 27 has language added to explain why having the note in Manal’s name would work on a long-term basis</w:t>
      </w:r>
      <w:r w:rsidR="00F608DC">
        <w:t xml:space="preserve"> to protect the land from creditors:</w:t>
      </w:r>
      <w:r w:rsidR="00F608DC">
        <w:rPr>
          <w:u w:val="single"/>
        </w:rPr>
        <w:t xml:space="preserve"> </w:t>
      </w:r>
    </w:p>
    <w:p w14:paraId="23C5D420" w14:textId="2160B528" w:rsidR="007E6613" w:rsidRDefault="00F608DC" w:rsidP="00F608DC">
      <w:pPr>
        <w:pStyle w:val="BodyText"/>
        <w:widowControl/>
        <w:ind w:left="720" w:right="720"/>
        <w:jc w:val="both"/>
        <w:outlineLvl w:val="0"/>
      </w:pPr>
      <w:r w:rsidRPr="00F608DC">
        <w:t>Once the statute of limitations ran out on the tax evasion, all of the actual corporate filings of Sixteen Plus</w:t>
      </w:r>
      <w:r>
        <w:t xml:space="preserve"> </w:t>
      </w:r>
      <w:r w:rsidRPr="00F608DC">
        <w:t xml:space="preserve"> would be completely accurate and free from criminal liability. Nor could the tax authorities or other entities seize the land without having to fight about Manal’s claims.</w:t>
      </w:r>
    </w:p>
    <w:p w14:paraId="16127C00" w14:textId="77777777" w:rsidR="00F608DC" w:rsidRPr="00F608DC" w:rsidRDefault="00F608DC" w:rsidP="00F608DC">
      <w:pPr>
        <w:pStyle w:val="BodyText"/>
        <w:widowControl/>
        <w:ind w:left="720" w:right="720"/>
        <w:jc w:val="both"/>
        <w:outlineLvl w:val="0"/>
      </w:pPr>
    </w:p>
    <w:p w14:paraId="65E0ECD7" w14:textId="1706269B" w:rsidR="001812B3" w:rsidRDefault="00F608DC" w:rsidP="001812B3">
      <w:pPr>
        <w:pStyle w:val="BodyText"/>
        <w:widowControl/>
        <w:spacing w:line="480" w:lineRule="auto"/>
        <w:jc w:val="both"/>
        <w:outlineLvl w:val="0"/>
      </w:pPr>
      <w:r>
        <w:t>In addition, some wording was change</w:t>
      </w:r>
      <w:r w:rsidR="00AD20ED">
        <w:t>d</w:t>
      </w:r>
      <w:r>
        <w:t xml:space="preserve"> as in paragraph 29, to soften </w:t>
      </w:r>
      <w:r w:rsidR="00AD20ED">
        <w:t>terminology</w:t>
      </w:r>
      <w:r>
        <w:t xml:space="preserve"> like “laundering” to </w:t>
      </w:r>
      <w:r w:rsidR="001812B3">
        <w:t>terms like “transfer</w:t>
      </w:r>
      <w:r w:rsidR="0003051C">
        <w:t>”</w:t>
      </w:r>
      <w:r w:rsidR="001812B3">
        <w:t xml:space="preserve">—to make the text less pejorative. (“The note and mortgage exceeded the amount </w:t>
      </w:r>
      <w:r w:rsidR="001812B3" w:rsidRPr="001812B3">
        <w:rPr>
          <w:dstrike/>
        </w:rPr>
        <w:t xml:space="preserve">laundered through </w:t>
      </w:r>
      <w:r w:rsidR="001812B3" w:rsidRPr="001812B3">
        <w:rPr>
          <w:u w:val="single"/>
        </w:rPr>
        <w:t>transferred from</w:t>
      </w:r>
      <w:r w:rsidR="001812B3">
        <w:t xml:space="preserve"> St. Martin by $500,000.”)</w:t>
      </w:r>
      <w:r w:rsidR="00AD20ED">
        <w:t xml:space="preserve"> Finally, some factual errors were corrected as in paragraph 62, where the suit mention</w:t>
      </w:r>
      <w:r w:rsidR="000F78EF">
        <w:t>ed</w:t>
      </w:r>
      <w:r w:rsidR="00AD20ED">
        <w:t xml:space="preserve"> was filed in 2015, not 2016.</w:t>
      </w:r>
    </w:p>
    <w:p w14:paraId="1B43D3CA" w14:textId="57E91392" w:rsidR="00967B03" w:rsidRPr="003D78E8" w:rsidRDefault="003D78E8" w:rsidP="003D78E8">
      <w:pPr>
        <w:spacing w:line="480" w:lineRule="auto"/>
        <w:ind w:left="-288"/>
        <w:jc w:val="both"/>
        <w:outlineLvl w:val="0"/>
        <w:rPr>
          <w:rFonts w:cs="Arial"/>
          <w:i/>
          <w:iCs/>
        </w:rPr>
      </w:pPr>
      <w:r>
        <w:rPr>
          <w:rFonts w:cs="Arial"/>
          <w:i/>
          <w:iCs/>
        </w:rPr>
        <w:t xml:space="preserve">4. </w:t>
      </w:r>
      <w:r w:rsidR="00967B03" w:rsidRPr="003D78E8">
        <w:rPr>
          <w:rFonts w:cs="Arial"/>
          <w:i/>
          <w:iCs/>
        </w:rPr>
        <w:t>At 3: “[There has been] undue delay as to the addition of Manal Yousef.”</w:t>
      </w:r>
    </w:p>
    <w:p w14:paraId="0B889669" w14:textId="1783238F" w:rsidR="007E6613" w:rsidRDefault="00282A95" w:rsidP="00967B03">
      <w:pPr>
        <w:pStyle w:val="ListParagraph"/>
        <w:spacing w:after="0" w:line="480" w:lineRule="auto"/>
        <w:ind w:left="0" w:firstLine="720"/>
        <w:jc w:val="both"/>
        <w:outlineLvl w:val="0"/>
        <w:rPr>
          <w:rFonts w:ascii="Arial" w:hAnsi="Arial" w:cs="Arial"/>
          <w:sz w:val="24"/>
        </w:rPr>
      </w:pPr>
      <w:r>
        <w:rPr>
          <w:rFonts w:ascii="Arial" w:hAnsi="Arial" w:cs="Arial"/>
          <w:sz w:val="24"/>
        </w:rPr>
        <w:t>Fathi</w:t>
      </w:r>
      <w:r w:rsidR="00967B03">
        <w:rPr>
          <w:rFonts w:ascii="Arial" w:hAnsi="Arial" w:cs="Arial"/>
          <w:sz w:val="24"/>
        </w:rPr>
        <w:t xml:space="preserve"> does not address </w:t>
      </w:r>
      <w:r w:rsidR="00967B03" w:rsidRPr="0003051C">
        <w:rPr>
          <w:rFonts w:ascii="Arial" w:hAnsi="Arial" w:cs="Arial"/>
          <w:i/>
          <w:iCs/>
          <w:sz w:val="24"/>
        </w:rPr>
        <w:t>Davis</w:t>
      </w:r>
      <w:r w:rsidR="00967B03">
        <w:rPr>
          <w:rFonts w:ascii="Arial" w:hAnsi="Arial" w:cs="Arial"/>
          <w:sz w:val="24"/>
        </w:rPr>
        <w:t xml:space="preserve"> or Hamed’s discussion of </w:t>
      </w:r>
      <w:r w:rsidR="00780851">
        <w:rPr>
          <w:rFonts w:ascii="Arial" w:hAnsi="Arial" w:cs="Arial"/>
          <w:sz w:val="24"/>
        </w:rPr>
        <w:t xml:space="preserve">applicable law and holding in </w:t>
      </w:r>
      <w:r w:rsidR="00967B03">
        <w:rPr>
          <w:rFonts w:ascii="Arial" w:hAnsi="Arial" w:cs="Arial"/>
          <w:sz w:val="24"/>
        </w:rPr>
        <w:t>that case</w:t>
      </w:r>
      <w:r w:rsidR="00CF0A15">
        <w:rPr>
          <w:rFonts w:ascii="Arial" w:hAnsi="Arial" w:cs="Arial"/>
          <w:sz w:val="24"/>
        </w:rPr>
        <w:t>. A</w:t>
      </w:r>
      <w:r w:rsidR="00967B03">
        <w:rPr>
          <w:rFonts w:ascii="Arial" w:hAnsi="Arial" w:cs="Arial"/>
          <w:sz w:val="24"/>
        </w:rPr>
        <w:t>ll that is presented in opposition is a wordy argument with no</w:t>
      </w:r>
      <w:r w:rsidR="000F78EF">
        <w:rPr>
          <w:rFonts w:ascii="Arial" w:hAnsi="Arial" w:cs="Arial"/>
          <w:sz w:val="24"/>
        </w:rPr>
        <w:t>t a single word of</w:t>
      </w:r>
      <w:r w:rsidR="00967B03">
        <w:rPr>
          <w:rFonts w:ascii="Arial" w:hAnsi="Arial" w:cs="Arial"/>
          <w:sz w:val="24"/>
        </w:rPr>
        <w:t xml:space="preserve"> legal support. </w:t>
      </w:r>
      <w:r w:rsidR="00557402">
        <w:rPr>
          <w:rFonts w:ascii="Arial" w:hAnsi="Arial" w:cs="Arial"/>
          <w:sz w:val="24"/>
        </w:rPr>
        <w:t xml:space="preserve">Moreover, the wordy argument is utterly wrong on the law.  </w:t>
      </w:r>
      <w:r>
        <w:rPr>
          <w:rFonts w:ascii="Arial" w:hAnsi="Arial" w:cs="Arial"/>
          <w:sz w:val="24"/>
        </w:rPr>
        <w:t>Fathi</w:t>
      </w:r>
      <w:r w:rsidR="00557402">
        <w:rPr>
          <w:rFonts w:ascii="Arial" w:hAnsi="Arial" w:cs="Arial"/>
          <w:sz w:val="24"/>
        </w:rPr>
        <w:t xml:space="preserve"> argues:</w:t>
      </w:r>
    </w:p>
    <w:p w14:paraId="6686AE02" w14:textId="0A46F882" w:rsidR="00557402" w:rsidRDefault="00557402" w:rsidP="00557402">
      <w:pPr>
        <w:pStyle w:val="ListParagraph"/>
        <w:spacing w:after="0" w:line="240" w:lineRule="auto"/>
        <w:ind w:right="720"/>
        <w:jc w:val="both"/>
        <w:outlineLvl w:val="0"/>
        <w:rPr>
          <w:rFonts w:ascii="Arial" w:hAnsi="Arial" w:cs="Arial"/>
          <w:sz w:val="24"/>
        </w:rPr>
      </w:pPr>
      <w:r w:rsidRPr="00557402">
        <w:rPr>
          <w:rFonts w:ascii="Arial" w:hAnsi="Arial" w:cs="Arial"/>
          <w:sz w:val="24"/>
        </w:rPr>
        <w:t>Plaintiff should not be allowed now, at this late date—years later—to attempt to rectify this failure. Nothing in the recent discovery which has taken place in this case has changed the fact that Plaintiff’s claims relate to Manal Yousef’s mortgage and that she was a necessary party. Plaintiff should not be afforded the ability to attempt to rectify this blatant failing so late in the litigation. Failure to have added her remains a basis for dismissal of the FAC and Plaintiff should not be able to now attempt to rectify this failing.</w:t>
      </w:r>
    </w:p>
    <w:p w14:paraId="5FB84713" w14:textId="77777777" w:rsidR="00EE03DC" w:rsidRPr="00557402" w:rsidRDefault="00EE03DC" w:rsidP="00557402">
      <w:pPr>
        <w:pStyle w:val="ListParagraph"/>
        <w:spacing w:after="0" w:line="240" w:lineRule="auto"/>
        <w:ind w:right="720"/>
        <w:jc w:val="both"/>
        <w:outlineLvl w:val="0"/>
        <w:rPr>
          <w:rFonts w:ascii="Arial" w:hAnsi="Arial" w:cs="Arial"/>
          <w:sz w:val="24"/>
        </w:rPr>
      </w:pPr>
    </w:p>
    <w:p w14:paraId="0C89C072" w14:textId="6AEB016D" w:rsidR="00EE03DC" w:rsidRDefault="00780851" w:rsidP="00EE03DC">
      <w:pPr>
        <w:pStyle w:val="BodyText"/>
        <w:widowControl/>
        <w:spacing w:line="480" w:lineRule="auto"/>
        <w:ind w:firstLine="720"/>
        <w:jc w:val="both"/>
        <w:outlineLvl w:val="0"/>
      </w:pPr>
      <w:r>
        <w:t xml:space="preserve">This makes it obvious why </w:t>
      </w:r>
      <w:r w:rsidRPr="00780851">
        <w:rPr>
          <w:i/>
          <w:iCs/>
        </w:rPr>
        <w:t>Davis</w:t>
      </w:r>
      <w:r>
        <w:t xml:space="preserve"> was avoided. </w:t>
      </w:r>
      <w:r w:rsidR="00557402">
        <w:t>This is “</w:t>
      </w:r>
      <w:r w:rsidR="00EE03DC">
        <w:t>unfairness</w:t>
      </w:r>
      <w:r w:rsidR="00557402">
        <w:t xml:space="preserve">” </w:t>
      </w:r>
      <w:r w:rsidR="0066667C">
        <w:t>language and</w:t>
      </w:r>
      <w:r w:rsidR="00557402">
        <w:t xml:space="preserve"> suggests there must be some manifest injustice before amendment should be allowed</w:t>
      </w:r>
      <w:r w:rsidR="00EE03DC">
        <w:t xml:space="preserve"> because amendment </w:t>
      </w:r>
      <w:r>
        <w:t xml:space="preserve">might </w:t>
      </w:r>
      <w:r w:rsidR="00EE03DC">
        <w:t xml:space="preserve">make it more likely the plaintiff will succeed than existed in the </w:t>
      </w:r>
      <w:r w:rsidR="00EE03DC">
        <w:lastRenderedPageBreak/>
        <w:t>original complaint.</w:t>
      </w:r>
      <w:r w:rsidR="00557402">
        <w:t xml:space="preserve"> </w:t>
      </w:r>
      <w:r w:rsidR="00EE03DC" w:rsidRPr="00EE03DC">
        <w:rPr>
          <w:i/>
          <w:iCs/>
        </w:rPr>
        <w:t>Davis</w:t>
      </w:r>
      <w:r w:rsidR="00EE03DC">
        <w:t xml:space="preserve"> directly contradicts this, focusing on actual, </w:t>
      </w:r>
      <w:r w:rsidR="0003051C">
        <w:t xml:space="preserve">apparent, </w:t>
      </w:r>
      <w:r w:rsidR="00EE03DC">
        <w:t>procedural prejudice</w:t>
      </w:r>
      <w:r>
        <w:t>;</w:t>
      </w:r>
    </w:p>
    <w:p w14:paraId="2D337202" w14:textId="2C3500BD" w:rsidR="00EE03DC" w:rsidRDefault="00EE03DC" w:rsidP="00EE03DC">
      <w:pPr>
        <w:pStyle w:val="BodyText"/>
        <w:widowControl/>
        <w:ind w:left="720" w:right="720"/>
        <w:jc w:val="both"/>
        <w:outlineLvl w:val="0"/>
      </w:pPr>
      <w:r w:rsidRPr="00EE03DC">
        <w:t xml:space="preserve">the prejudice cannot simply be that UHP Projects may lose the case on the merits if the amended pleading is allowed; rather, “[t]o constitute prejudice, the amendment must compromise [the defendant's] </w:t>
      </w:r>
      <w:r w:rsidRPr="00EE03DC">
        <w:rPr>
          <w:i/>
          <w:iCs/>
        </w:rPr>
        <w:t>ability to present [its] case</w:t>
      </w:r>
      <w:r w:rsidRPr="00EE03DC">
        <w:t>.</w:t>
      </w:r>
      <w:r>
        <w:t>” (Emphasis added.)</w:t>
      </w:r>
    </w:p>
    <w:p w14:paraId="086A2649" w14:textId="77777777" w:rsidR="0003051C" w:rsidRPr="00EE03DC" w:rsidRDefault="0003051C" w:rsidP="00EE03DC">
      <w:pPr>
        <w:pStyle w:val="BodyText"/>
        <w:widowControl/>
        <w:ind w:left="720" w:right="720"/>
        <w:jc w:val="both"/>
        <w:outlineLvl w:val="0"/>
      </w:pPr>
    </w:p>
    <w:p w14:paraId="4EF7B4C9" w14:textId="6FC0DCB8" w:rsidR="00557402" w:rsidRPr="008033CF" w:rsidRDefault="00282A95" w:rsidP="000F78EF">
      <w:pPr>
        <w:pStyle w:val="BodyText"/>
        <w:widowControl/>
        <w:spacing w:line="480" w:lineRule="auto"/>
        <w:jc w:val="both"/>
        <w:outlineLvl w:val="0"/>
      </w:pPr>
      <w:r>
        <w:t>Fathi</w:t>
      </w:r>
      <w:r w:rsidR="00EE03DC">
        <w:t xml:space="preserve"> does not </w:t>
      </w:r>
      <w:r w:rsidR="00780851">
        <w:t xml:space="preserve">address, </w:t>
      </w:r>
      <w:r w:rsidR="00EE03DC">
        <w:t xml:space="preserve">argue or prove </w:t>
      </w:r>
      <w:r w:rsidR="00EE03DC" w:rsidRPr="00CF0A15">
        <w:rPr>
          <w:i/>
          <w:iCs/>
          <w:u w:val="single"/>
        </w:rPr>
        <w:t>any</w:t>
      </w:r>
      <w:r w:rsidR="00EE03DC">
        <w:t xml:space="preserve"> “compromise” to the </w:t>
      </w:r>
      <w:r w:rsidR="0090548A">
        <w:t>defendants</w:t>
      </w:r>
      <w:r w:rsidR="00654BED">
        <w:t xml:space="preserve"> </w:t>
      </w:r>
      <w:r w:rsidR="00EE03DC">
        <w:t xml:space="preserve">“ability to present [their] case”. </w:t>
      </w:r>
      <w:r>
        <w:t>Fathi</w:t>
      </w:r>
      <w:r w:rsidR="00EE03DC">
        <w:t xml:space="preserve"> </w:t>
      </w:r>
      <w:r w:rsidR="00780851">
        <w:t>merely states</w:t>
      </w:r>
      <w:r w:rsidR="00EE03DC">
        <w:t xml:space="preserve"> that there has been no </w:t>
      </w:r>
      <w:r w:rsidR="0090548A">
        <w:t xml:space="preserve">“newly discovered evidence” </w:t>
      </w:r>
      <w:r w:rsidR="0090548A" w:rsidRPr="00654BED">
        <w:rPr>
          <w:i/>
          <w:iCs/>
        </w:rPr>
        <w:t xml:space="preserve">significant </w:t>
      </w:r>
      <w:r w:rsidR="00EE03DC" w:rsidRPr="00654BED">
        <w:rPr>
          <w:i/>
          <w:iCs/>
        </w:rPr>
        <w:t>enough</w:t>
      </w:r>
      <w:r w:rsidR="00EE03DC">
        <w:t xml:space="preserve"> to suggest </w:t>
      </w:r>
      <w:r w:rsidR="0090548A">
        <w:t>the “need” to amend</w:t>
      </w:r>
      <w:r w:rsidR="00EE03DC">
        <w:t xml:space="preserve">. </w:t>
      </w:r>
      <w:r w:rsidR="00557402">
        <w:t xml:space="preserve">This is, therefore, basically an attempt to graft Rule 59(e) standards </w:t>
      </w:r>
      <w:r w:rsidR="0090548A">
        <w:t xml:space="preserve">and the higher level of </w:t>
      </w:r>
      <w:r w:rsidR="0003051C">
        <w:t>“</w:t>
      </w:r>
      <w:r w:rsidR="0090548A">
        <w:t xml:space="preserve">newly discovered </w:t>
      </w:r>
      <w:r w:rsidR="0003051C">
        <w:t>evidence</w:t>
      </w:r>
      <w:r w:rsidR="0090548A">
        <w:t xml:space="preserve"> creating a disadvantage</w:t>
      </w:r>
      <w:r w:rsidR="0003051C">
        <w:t>”</w:t>
      </w:r>
      <w:r w:rsidR="0090548A">
        <w:t xml:space="preserve"> </w:t>
      </w:r>
      <w:r w:rsidR="00557402">
        <w:t>onto the far more liberal Rule 15(a) process</w:t>
      </w:r>
      <w:r w:rsidR="000F78EF">
        <w:t xml:space="preserve">—a trick </w:t>
      </w:r>
      <w:r w:rsidR="00EE03DC">
        <w:t>which is repeatedly tried and always fails</w:t>
      </w:r>
      <w:r w:rsidR="00557402">
        <w:t>.</w:t>
      </w:r>
      <w:r w:rsidR="00557402" w:rsidRPr="008033CF">
        <w:t xml:space="preserve"> See this distinction discussed in </w:t>
      </w:r>
      <w:r w:rsidR="00557402" w:rsidRPr="00CF0A15">
        <w:rPr>
          <w:i/>
          <w:iCs/>
          <w:bdr w:val="none" w:sz="0" w:space="0" w:color="auto" w:frame="1"/>
        </w:rPr>
        <w:t>DeGruy v. Wade</w:t>
      </w:r>
      <w:r w:rsidR="00557402" w:rsidRPr="00CF0A15">
        <w:rPr>
          <w:bdr w:val="none" w:sz="0" w:space="0" w:color="auto" w:frame="1"/>
        </w:rPr>
        <w:t>, 586 F. App'x 652, 655 (5th Cir. 2014)</w:t>
      </w:r>
      <w:r w:rsidR="00780851">
        <w:rPr>
          <w:bdr w:val="none" w:sz="0" w:space="0" w:color="auto" w:frame="1"/>
        </w:rPr>
        <w:t>.</w:t>
      </w:r>
    </w:p>
    <w:p w14:paraId="0FDF4FAD" w14:textId="011325C8" w:rsidR="00557402" w:rsidRDefault="00557402" w:rsidP="00557402">
      <w:pPr>
        <w:ind w:left="720" w:right="720"/>
        <w:jc w:val="both"/>
        <w:outlineLvl w:val="0"/>
        <w:rPr>
          <w:rFonts w:cs="Arial"/>
          <w:b/>
          <w:bCs/>
          <w:color w:val="000000"/>
          <w:bdr w:val="none" w:sz="0" w:space="0" w:color="auto" w:frame="1"/>
          <w:shd w:val="clear" w:color="auto" w:fill="FFFFFF"/>
        </w:rPr>
      </w:pPr>
      <w:r w:rsidRPr="008033CF">
        <w:rPr>
          <w:rFonts w:cs="Arial"/>
          <w:color w:val="000000"/>
        </w:rPr>
        <w:t>Ordinarily, a district court has greater discretion to deny a motion under Rule 59(e) than under Rule 15(a). Rule 59(e) motions "must clearly establish either a manifest error of law or fact or must present newly discovered evidence." </w:t>
      </w:r>
      <w:r w:rsidRPr="008033CF">
        <w:rPr>
          <w:rStyle w:val="ssit"/>
          <w:rFonts w:cs="Arial"/>
          <w:i/>
          <w:iCs/>
          <w:color w:val="000000"/>
          <w:bdr w:val="none" w:sz="0" w:space="0" w:color="auto" w:frame="1"/>
        </w:rPr>
        <w:t>Rosenzweig</w:t>
      </w:r>
      <w:r w:rsidRPr="008033CF">
        <w:rPr>
          <w:rFonts w:cs="Arial"/>
          <w:color w:val="000000"/>
        </w:rPr>
        <w:t>, 332 F.3d at 864. A motion to amend under Rule 15(a), however, "permit[s] liberal amendment to facilitate determination of claims on the merits," </w:t>
      </w:r>
      <w:r w:rsidRPr="008033CF">
        <w:rPr>
          <w:rStyle w:val="ssit"/>
          <w:rFonts w:cs="Arial"/>
          <w:i/>
          <w:iCs/>
          <w:color w:val="000000"/>
          <w:bdr w:val="none" w:sz="0" w:space="0" w:color="auto" w:frame="1"/>
        </w:rPr>
        <w:t>Dussouy v. Gulf Coast Inv. Corp.</w:t>
      </w:r>
      <w:r w:rsidRPr="008033CF">
        <w:rPr>
          <w:rFonts w:cs="Arial"/>
          <w:color w:val="000000"/>
        </w:rPr>
        <w:t xml:space="preserve">, 660 F.2d 594, 598 (Former 5th Cir. Nov. 1981), </w:t>
      </w:r>
      <w:r w:rsidRPr="00EE03DC">
        <w:rPr>
          <w:rFonts w:cs="Arial"/>
          <w:i/>
          <w:iCs/>
          <w:color w:val="000000"/>
        </w:rPr>
        <w:t>imposing serious restrictions on the judge's discretion to deny the motion, </w:t>
      </w:r>
      <w:r w:rsidRPr="00EE03DC">
        <w:rPr>
          <w:rStyle w:val="ssit"/>
          <w:rFonts w:cs="Arial"/>
          <w:i/>
          <w:iCs/>
          <w:color w:val="000000"/>
          <w:bdr w:val="none" w:sz="0" w:space="0" w:color="auto" w:frame="1"/>
        </w:rPr>
        <w:t>id.</w:t>
      </w:r>
      <w:r w:rsidRPr="00EE03DC">
        <w:rPr>
          <w:rFonts w:cs="Arial"/>
          <w:i/>
          <w:iCs/>
          <w:color w:val="000000"/>
        </w:rPr>
        <w:t> Absent a strong, declared reason for the denial, a reviewing court will hold the denial of a Rule 15(a) motion to be an abuse of discretion</w:t>
      </w:r>
      <w:r w:rsidRPr="008033CF">
        <w:rPr>
          <w:rFonts w:cs="Arial"/>
          <w:color w:val="000000"/>
        </w:rPr>
        <w:t>.</w:t>
      </w:r>
      <w:r w:rsidR="00EE03DC">
        <w:rPr>
          <w:rFonts w:cs="Arial"/>
          <w:color w:val="000000"/>
        </w:rPr>
        <w:t xml:space="preserve"> (Emphasis added.)</w:t>
      </w:r>
    </w:p>
    <w:p w14:paraId="333DBFEE" w14:textId="5BA53808" w:rsidR="00557402" w:rsidRDefault="00557402" w:rsidP="00557402">
      <w:pPr>
        <w:ind w:left="720" w:right="720"/>
        <w:jc w:val="both"/>
        <w:outlineLvl w:val="0"/>
        <w:rPr>
          <w:rFonts w:cs="Arial"/>
          <w:b/>
          <w:bCs/>
          <w:color w:val="000000"/>
          <w:bdr w:val="none" w:sz="0" w:space="0" w:color="auto" w:frame="1"/>
          <w:shd w:val="clear" w:color="auto" w:fill="FFFFFF"/>
        </w:rPr>
      </w:pPr>
    </w:p>
    <w:p w14:paraId="6C636F62" w14:textId="54128D75" w:rsidR="00557402" w:rsidRPr="00557402" w:rsidRDefault="00557402" w:rsidP="00557402">
      <w:pPr>
        <w:spacing w:line="480" w:lineRule="auto"/>
        <w:jc w:val="both"/>
        <w:outlineLvl w:val="0"/>
        <w:rPr>
          <w:rFonts w:cs="Arial"/>
          <w:b/>
          <w:bCs/>
          <w:color w:val="000000"/>
          <w:bdr w:val="none" w:sz="0" w:space="0" w:color="auto" w:frame="1"/>
          <w:shd w:val="clear" w:color="auto" w:fill="FFFFFF"/>
        </w:rPr>
      </w:pPr>
      <w:r>
        <w:rPr>
          <w:rFonts w:cs="Arial"/>
          <w:color w:val="000000"/>
          <w:bdr w:val="none" w:sz="0" w:space="0" w:color="auto" w:frame="1"/>
          <w:shd w:val="clear" w:color="auto" w:fill="FFFFFF"/>
        </w:rPr>
        <w:t xml:space="preserve">There is no shame </w:t>
      </w:r>
      <w:r w:rsidR="0003051C">
        <w:rPr>
          <w:rFonts w:cs="Arial"/>
          <w:color w:val="000000"/>
          <w:bdr w:val="none" w:sz="0" w:space="0" w:color="auto" w:frame="1"/>
          <w:shd w:val="clear" w:color="auto" w:fill="FFFFFF"/>
        </w:rPr>
        <w:t xml:space="preserve">or impropriety </w:t>
      </w:r>
      <w:r>
        <w:rPr>
          <w:rFonts w:cs="Arial"/>
          <w:color w:val="000000"/>
          <w:bdr w:val="none" w:sz="0" w:space="0" w:color="auto" w:frame="1"/>
          <w:shd w:val="clear" w:color="auto" w:fill="FFFFFF"/>
        </w:rPr>
        <w:t xml:space="preserve">in seeking “to cure the potential deficienc[ies] by amendment” at what is still a very early stage in these proceedings.  </w:t>
      </w:r>
      <w:r w:rsidRPr="00557402">
        <w:rPr>
          <w:i/>
          <w:iCs/>
          <w:bdr w:val="none" w:sz="0" w:space="0" w:color="auto" w:frame="1"/>
        </w:rPr>
        <w:t>Zavian v. Pride Fin.,</w:t>
      </w:r>
      <w:r w:rsidRPr="00557402">
        <w:rPr>
          <w:bdr w:val="none" w:sz="0" w:space="0" w:color="auto" w:frame="1"/>
        </w:rPr>
        <w:t xml:space="preserve"> LLC, Civil Action No. 15-1920 (ES) (MAH), 2016 U.S. Dist. LEXIS 85158, at *7-8 n.3 (D.N.J. June 30, 2016)</w:t>
      </w:r>
    </w:p>
    <w:p w14:paraId="426F4BD8" w14:textId="6CC2814E" w:rsidR="00557402" w:rsidRDefault="00557402" w:rsidP="00557402">
      <w:pPr>
        <w:ind w:left="720" w:right="720"/>
        <w:jc w:val="both"/>
        <w:outlineLvl w:val="0"/>
        <w:rPr>
          <w:color w:val="000000"/>
        </w:rPr>
      </w:pPr>
      <w:r>
        <w:rPr>
          <w:color w:val="000000"/>
        </w:rPr>
        <w:t>No factors militate against granting the relief Plaintiff seeks. </w:t>
      </w:r>
      <w:r>
        <w:rPr>
          <w:rStyle w:val="ssrfcpassagedeactivated"/>
          <w:color w:val="000000"/>
          <w:bdr w:val="none" w:sz="0" w:space="0" w:color="auto" w:frame="1"/>
        </w:rPr>
        <w:t xml:space="preserve">First, the Court notes that a Pretrial Scheduling Order for this case was entered only on March 2, 2016 [D.E. 15], which sets a deadline of June 1, 2016 for any motions to add new parties or amend pleadings. Although Defendants argue that the Plaintiff </w:t>
      </w:r>
      <w:r w:rsidRPr="00654BED">
        <w:rPr>
          <w:rStyle w:val="ssrfcpassagedeactivated"/>
          <w:b/>
          <w:bCs/>
          <w:i/>
          <w:iCs/>
          <w:color w:val="000000"/>
          <w:u w:val="single"/>
          <w:bdr w:val="none" w:sz="0" w:space="0" w:color="auto" w:frame="1"/>
        </w:rPr>
        <w:t>could have</w:t>
      </w:r>
      <w:r>
        <w:rPr>
          <w:rStyle w:val="ssrfcpassagedeactivated"/>
          <w:color w:val="000000"/>
          <w:bdr w:val="none" w:sz="0" w:space="0" w:color="auto" w:frame="1"/>
        </w:rPr>
        <w:t xml:space="preserve"> drawn a broader class definition in the original Complaint but failed to do so, Plaintiff is now seeking to cure the potential deficiency by </w:t>
      </w:r>
      <w:r>
        <w:rPr>
          <w:rStyle w:val="ssrfcpassagedeactivated"/>
          <w:color w:val="000000"/>
          <w:bdr w:val="none" w:sz="0" w:space="0" w:color="auto" w:frame="1"/>
        </w:rPr>
        <w:lastRenderedPageBreak/>
        <w:t>amendment, which was filed shortly after Defendants disclosed to Plaintiff that there were only seven members of the putative class. Leave to amend is generally granted where, during the course of discovery, a party discovers "new evidence." </w:t>
      </w:r>
      <w:r>
        <w:rPr>
          <w:rStyle w:val="ssun"/>
          <w:color w:val="000000"/>
          <w:u w:val="single"/>
          <w:bdr w:val="none" w:sz="0" w:space="0" w:color="auto" w:frame="1"/>
        </w:rPr>
        <w:t>See</w:t>
      </w:r>
      <w:r>
        <w:rPr>
          <w:rStyle w:val="ssrfcpassagedeactivated"/>
          <w:color w:val="000000"/>
          <w:bdr w:val="none" w:sz="0" w:space="0" w:color="auto" w:frame="1"/>
        </w:rPr>
        <w:t>, </w:t>
      </w:r>
      <w:r>
        <w:rPr>
          <w:rStyle w:val="ssun"/>
          <w:color w:val="000000"/>
          <w:u w:val="single"/>
          <w:bdr w:val="none" w:sz="0" w:space="0" w:color="auto" w:frame="1"/>
        </w:rPr>
        <w:t>e.g.</w:t>
      </w:r>
      <w:r>
        <w:rPr>
          <w:rStyle w:val="ssrfcpassagedeactivated"/>
          <w:color w:val="000000"/>
          <w:bdr w:val="none" w:sz="0" w:space="0" w:color="auto" w:frame="1"/>
        </w:rPr>
        <w:t>, </w:t>
      </w:r>
      <w:r>
        <w:rPr>
          <w:rStyle w:val="ssun"/>
          <w:color w:val="000000"/>
          <w:u w:val="single"/>
          <w:bdr w:val="none" w:sz="0" w:space="0" w:color="auto" w:frame="1"/>
        </w:rPr>
        <w:t>Slade v. Fauver</w:t>
      </w:r>
      <w:r>
        <w:rPr>
          <w:rStyle w:val="ssrfcpassagedeactivated"/>
          <w:color w:val="000000"/>
          <w:bdr w:val="none" w:sz="0" w:space="0" w:color="auto" w:frame="1"/>
        </w:rPr>
        <w:t>, No. CIV.A.90-1417, 1990 U.S. Dist. LEXIS 13356, 1990 WL 153960, at *4 (D.N.J. Sept. 24, 1990) (granting leave to </w:t>
      </w:r>
      <w:r>
        <w:rPr>
          <w:rStyle w:val="sssh"/>
          <w:rFonts w:ascii="inherit" w:eastAsiaTheme="majorEastAsia" w:hAnsi="inherit"/>
          <w:color w:val="000000"/>
          <w:bdr w:val="none" w:sz="0" w:space="0" w:color="auto" w:frame="1"/>
        </w:rPr>
        <w:t>amend</w:t>
      </w:r>
      <w:r>
        <w:rPr>
          <w:rStyle w:val="ssrfcpassagedeactivated"/>
          <w:color w:val="000000"/>
          <w:bdr w:val="none" w:sz="0" w:space="0" w:color="auto" w:frame="1"/>
        </w:rPr>
        <w:t> where </w:t>
      </w:r>
      <w:r>
        <w:rPr>
          <w:rStyle w:val="sssh"/>
          <w:rFonts w:ascii="inherit" w:eastAsiaTheme="majorEastAsia" w:hAnsi="inherit"/>
          <w:color w:val="000000"/>
          <w:bdr w:val="none" w:sz="0" w:space="0" w:color="auto" w:frame="1"/>
        </w:rPr>
        <w:t>new</w:t>
      </w:r>
      <w:r>
        <w:rPr>
          <w:rStyle w:val="ssrfcpassagedeactivated"/>
          <w:color w:val="000000"/>
          <w:bdr w:val="none" w:sz="0" w:space="0" w:color="auto" w:frame="1"/>
        </w:rPr>
        <w:t> claims were </w:t>
      </w:r>
      <w:r>
        <w:rPr>
          <w:rStyle w:val="sssh"/>
          <w:rFonts w:ascii="inherit" w:eastAsiaTheme="majorEastAsia" w:hAnsi="inherit"/>
          <w:color w:val="000000"/>
          <w:bdr w:val="none" w:sz="0" w:space="0" w:color="auto" w:frame="1"/>
        </w:rPr>
        <w:t>discovered</w:t>
      </w:r>
      <w:r>
        <w:rPr>
          <w:rStyle w:val="ssrfcpassagedeactivated"/>
          <w:color w:val="000000"/>
          <w:bdr w:val="none" w:sz="0" w:space="0" w:color="auto" w:frame="1"/>
        </w:rPr>
        <w:t> and "proposed amendments had no dilatory purpose and no significant discovery or pretrial preparation had taken place . . . ."); </w:t>
      </w:r>
      <w:r>
        <w:rPr>
          <w:rStyle w:val="ssun"/>
          <w:color w:val="000000"/>
          <w:u w:val="single"/>
          <w:bdr w:val="none" w:sz="0" w:space="0" w:color="auto" w:frame="1"/>
        </w:rPr>
        <w:t>Kronfeld v. First Jersey Nat'l Bank</w:t>
      </w:r>
      <w:r>
        <w:rPr>
          <w:rStyle w:val="ssrfcpassagedeactivated"/>
          <w:color w:val="000000"/>
          <w:bdr w:val="none" w:sz="0" w:space="0" w:color="auto" w:frame="1"/>
        </w:rPr>
        <w:t>, 638 F. Supp. 1454, 1460 (D.N.J. 1986) (granting motion to amend upon discovery of new evidence where it did "not appear that the amendment would cause undue delay or that plaintiffs have a dilatory motive."). </w:t>
      </w:r>
      <w:r>
        <w:rPr>
          <w:color w:val="000000"/>
        </w:rPr>
        <w:t>Plaintiff asserts that while Defendants' Answer denied there were forty class members, it was not until January 28, 2016 that Defendants reported there were only seven members of the putative class. Pl.'s Reply Br., March 14, 2016, D.E. 17</w:t>
      </w:r>
      <w:r w:rsidR="0003051C">
        <w:rPr>
          <w:color w:val="000000"/>
        </w:rPr>
        <w:t>….</w:t>
      </w:r>
      <w:r w:rsidR="00CF0A15">
        <w:rPr>
          <w:color w:val="000000"/>
        </w:rPr>
        <w:t>(Emphasis added.)</w:t>
      </w:r>
    </w:p>
    <w:p w14:paraId="1B6900E4" w14:textId="77777777" w:rsidR="0003051C" w:rsidRDefault="0003051C" w:rsidP="00557402">
      <w:pPr>
        <w:ind w:left="720" w:right="720"/>
        <w:jc w:val="both"/>
        <w:outlineLvl w:val="0"/>
        <w:rPr>
          <w:rStyle w:val="ssun"/>
          <w:color w:val="000000"/>
          <w:u w:val="single"/>
          <w:bdr w:val="none" w:sz="0" w:space="0" w:color="auto" w:frame="1"/>
        </w:rPr>
      </w:pPr>
    </w:p>
    <w:p w14:paraId="4D79CF85" w14:textId="074032D9" w:rsidR="00654BED" w:rsidRDefault="00654BED" w:rsidP="00654BED">
      <w:pPr>
        <w:spacing w:line="480" w:lineRule="auto"/>
        <w:ind w:firstLine="720"/>
        <w:jc w:val="both"/>
        <w:outlineLvl w:val="0"/>
        <w:rPr>
          <w:color w:val="000000"/>
        </w:rPr>
      </w:pPr>
      <w:r>
        <w:rPr>
          <w:color w:val="000000"/>
        </w:rPr>
        <w:t xml:space="preserve">In the end, all </w:t>
      </w:r>
      <w:r w:rsidR="00282A95">
        <w:rPr>
          <w:color w:val="000000"/>
        </w:rPr>
        <w:t>Fathi</w:t>
      </w:r>
      <w:r>
        <w:rPr>
          <w:color w:val="000000"/>
        </w:rPr>
        <w:t xml:space="preserve"> </w:t>
      </w:r>
      <w:r w:rsidR="000F78EF">
        <w:rPr>
          <w:color w:val="000000"/>
        </w:rPr>
        <w:t xml:space="preserve">really </w:t>
      </w:r>
      <w:r>
        <w:rPr>
          <w:color w:val="000000"/>
        </w:rPr>
        <w:t xml:space="preserve">argues is that Hamed “could have” added all of this in 2017, </w:t>
      </w:r>
      <w:r w:rsidR="00CF0A15">
        <w:rPr>
          <w:color w:val="000000"/>
        </w:rPr>
        <w:t xml:space="preserve">immediately after </w:t>
      </w:r>
      <w:r>
        <w:rPr>
          <w:color w:val="000000"/>
        </w:rPr>
        <w:t>Manal filed her suit—or that Hamed “could have” amended before written discovery and motions to compel had ended</w:t>
      </w:r>
      <w:r w:rsidR="00780851">
        <w:rPr>
          <w:color w:val="000000"/>
        </w:rPr>
        <w:t xml:space="preserve"> just a few months ago</w:t>
      </w:r>
      <w:r>
        <w:rPr>
          <w:color w:val="000000"/>
        </w:rPr>
        <w:t xml:space="preserve">. But that is not the standard. </w:t>
      </w:r>
      <w:r w:rsidR="0003051C">
        <w:rPr>
          <w:color w:val="000000"/>
        </w:rPr>
        <w:t xml:space="preserve">There is no legal support for replacing the word “could” with “must.” </w:t>
      </w:r>
      <w:r w:rsidR="00282A95">
        <w:rPr>
          <w:color w:val="000000"/>
        </w:rPr>
        <w:t>Fathi</w:t>
      </w:r>
      <w:r>
        <w:rPr>
          <w:color w:val="000000"/>
        </w:rPr>
        <w:t>’s argument would mean that, even when no answers have been filed, discovery is still outstanding and Judge Brady’s new Scheduling Order ha</w:t>
      </w:r>
      <w:r w:rsidR="00780851">
        <w:rPr>
          <w:color w:val="000000"/>
        </w:rPr>
        <w:t>s</w:t>
      </w:r>
      <w:r>
        <w:rPr>
          <w:color w:val="000000"/>
        </w:rPr>
        <w:t xml:space="preserve"> </w:t>
      </w:r>
      <w:r w:rsidR="0003051C">
        <w:rPr>
          <w:color w:val="000000"/>
        </w:rPr>
        <w:t>just</w:t>
      </w:r>
      <w:r>
        <w:rPr>
          <w:color w:val="000000"/>
        </w:rPr>
        <w:t xml:space="preserve"> issued</w:t>
      </w:r>
      <w:r w:rsidR="0096577B">
        <w:rPr>
          <w:color w:val="000000"/>
        </w:rPr>
        <w:t>—</w:t>
      </w:r>
      <w:r>
        <w:rPr>
          <w:color w:val="000000"/>
        </w:rPr>
        <w:t xml:space="preserve">even when discovery answers </w:t>
      </w:r>
      <w:r w:rsidR="00780851">
        <w:rPr>
          <w:color w:val="000000"/>
        </w:rPr>
        <w:t xml:space="preserve">were </w:t>
      </w:r>
      <w:r>
        <w:rPr>
          <w:color w:val="000000"/>
        </w:rPr>
        <w:t xml:space="preserve">received just two months before </w:t>
      </w:r>
      <w:r w:rsidR="00780851">
        <w:rPr>
          <w:color w:val="000000"/>
        </w:rPr>
        <w:t>the motion</w:t>
      </w:r>
      <w:r w:rsidR="0096577B">
        <w:rPr>
          <w:color w:val="000000"/>
        </w:rPr>
        <w:t>—</w:t>
      </w:r>
      <w:r>
        <w:rPr>
          <w:color w:val="000000"/>
        </w:rPr>
        <w:t xml:space="preserve">amendment would not be proper. It is apparent why no cases are cited for this proposition and there is no discussion of </w:t>
      </w:r>
      <w:r w:rsidRPr="00654BED">
        <w:rPr>
          <w:i/>
          <w:iCs/>
          <w:color w:val="000000"/>
        </w:rPr>
        <w:t>Davis</w:t>
      </w:r>
      <w:r>
        <w:rPr>
          <w:color w:val="000000"/>
        </w:rPr>
        <w:t xml:space="preserve"> or the concept of prejudice as </w:t>
      </w:r>
      <w:r w:rsidR="0003051C">
        <w:rPr>
          <w:color w:val="000000"/>
        </w:rPr>
        <w:t xml:space="preserve">requiring </w:t>
      </w:r>
      <w:r>
        <w:rPr>
          <w:color w:val="000000"/>
        </w:rPr>
        <w:t xml:space="preserve">the </w:t>
      </w:r>
      <w:r w:rsidR="0003051C">
        <w:rPr>
          <w:color w:val="000000"/>
        </w:rPr>
        <w:t>“</w:t>
      </w:r>
      <w:r w:rsidRPr="00EE03DC">
        <w:rPr>
          <w:rFonts w:cs="Arial"/>
        </w:rPr>
        <w:t xml:space="preserve">compromise </w:t>
      </w:r>
      <w:r>
        <w:rPr>
          <w:rFonts w:cs="Arial"/>
        </w:rPr>
        <w:t xml:space="preserve">of a </w:t>
      </w:r>
      <w:r w:rsidR="009C6F00">
        <w:rPr>
          <w:rFonts w:cs="Arial"/>
        </w:rPr>
        <w:t>defendant’s</w:t>
      </w:r>
      <w:r>
        <w:rPr>
          <w:rFonts w:cs="Arial"/>
        </w:rPr>
        <w:t xml:space="preserve"> </w:t>
      </w:r>
      <w:r w:rsidRPr="00654BED">
        <w:rPr>
          <w:rFonts w:cs="Arial"/>
        </w:rPr>
        <w:t>ability to present its case.</w:t>
      </w:r>
      <w:r w:rsidR="0003051C">
        <w:rPr>
          <w:rFonts w:cs="Arial"/>
        </w:rPr>
        <w:t>”</w:t>
      </w:r>
    </w:p>
    <w:p w14:paraId="777E14D9" w14:textId="55CD7196" w:rsidR="00557402" w:rsidRDefault="00557402" w:rsidP="00654BED">
      <w:pPr>
        <w:spacing w:line="480" w:lineRule="auto"/>
        <w:ind w:firstLine="720"/>
        <w:jc w:val="both"/>
        <w:outlineLvl w:val="0"/>
        <w:rPr>
          <w:rFonts w:cs="Arial"/>
        </w:rPr>
      </w:pPr>
      <w:r>
        <w:t xml:space="preserve">As for the suggestion that there has been no new evidence adduced. Hamed again notes that </w:t>
      </w:r>
      <w:r w:rsidR="00FE3194">
        <w:t xml:space="preserve">in both this case and the companion foreclosure, </w:t>
      </w:r>
      <w:r w:rsidR="000F78EF">
        <w:t xml:space="preserve">the cases were “re-started” and </w:t>
      </w:r>
      <w:r>
        <w:t>written discovery was propounded up to September 15</w:t>
      </w:r>
      <w:r w:rsidR="00FE3194">
        <w:t>,</w:t>
      </w:r>
      <w:r>
        <w:rPr>
          <w:vertAlign w:val="superscript"/>
        </w:rPr>
        <w:t xml:space="preserve">, </w:t>
      </w:r>
      <w:r>
        <w:rPr>
          <w:rFonts w:cs="Arial"/>
        </w:rPr>
        <w:t xml:space="preserve">2023, </w:t>
      </w:r>
      <w:r w:rsidR="000F78EF">
        <w:rPr>
          <w:rFonts w:cs="Arial"/>
        </w:rPr>
        <w:t xml:space="preserve">the new </w:t>
      </w:r>
      <w:r>
        <w:rPr>
          <w:rFonts w:cs="Arial"/>
        </w:rPr>
        <w:t>responses were due by October 15</w:t>
      </w:r>
      <w:r w:rsidRPr="00557402">
        <w:rPr>
          <w:rFonts w:cs="Arial"/>
          <w:vertAlign w:val="superscript"/>
        </w:rPr>
        <w:t>th</w:t>
      </w:r>
      <w:r>
        <w:rPr>
          <w:rFonts w:cs="Arial"/>
        </w:rPr>
        <w:t xml:space="preserve">, and initial motions to compel have not even been fully </w:t>
      </w:r>
      <w:r w:rsidR="000F78EF">
        <w:rPr>
          <w:rFonts w:cs="Arial"/>
        </w:rPr>
        <w:t>opposed</w:t>
      </w:r>
      <w:r>
        <w:rPr>
          <w:rFonts w:cs="Arial"/>
        </w:rPr>
        <w:t>, much less replied to. And in jus</w:t>
      </w:r>
      <w:r w:rsidR="00FE3194">
        <w:rPr>
          <w:rFonts w:cs="Arial"/>
        </w:rPr>
        <w:t>t</w:t>
      </w:r>
      <w:r>
        <w:rPr>
          <w:rFonts w:cs="Arial"/>
        </w:rPr>
        <w:t xml:space="preserve"> that short time, Hamed has </w:t>
      </w:r>
      <w:r w:rsidR="000F78EF">
        <w:rPr>
          <w:rFonts w:cs="Arial"/>
        </w:rPr>
        <w:t xml:space="preserve">learned </w:t>
      </w:r>
      <w:r>
        <w:rPr>
          <w:rFonts w:cs="Arial"/>
        </w:rPr>
        <w:t>new and fascinating things</w:t>
      </w:r>
      <w:r w:rsidR="00FE3194">
        <w:rPr>
          <w:rFonts w:cs="Arial"/>
        </w:rPr>
        <w:t xml:space="preserve"> from </w:t>
      </w:r>
      <w:r w:rsidR="00FE3194">
        <w:rPr>
          <w:rFonts w:cs="Arial"/>
        </w:rPr>
        <w:lastRenderedPageBreak/>
        <w:t xml:space="preserve">the defendants and Manal. </w:t>
      </w:r>
      <w:r w:rsidR="00064C05">
        <w:rPr>
          <w:rFonts w:cs="Arial"/>
        </w:rPr>
        <w:t xml:space="preserve">Filed simultaneously is a motion to supplement. </w:t>
      </w:r>
      <w:r w:rsidR="00FE3194">
        <w:rPr>
          <w:rFonts w:cs="Arial"/>
        </w:rPr>
        <w:t>A very abbreviated list of the new facts</w:t>
      </w:r>
      <w:r w:rsidR="00064C05">
        <w:rPr>
          <w:rFonts w:cs="Arial"/>
        </w:rPr>
        <w:t xml:space="preserve"> set out there</w:t>
      </w:r>
      <w:r w:rsidR="00FE3194">
        <w:rPr>
          <w:rFonts w:cs="Arial"/>
        </w:rPr>
        <w:t>, in no particular order of importance</w:t>
      </w:r>
      <w:r w:rsidR="00064C05">
        <w:rPr>
          <w:rFonts w:cs="Arial"/>
        </w:rPr>
        <w:t>,</w:t>
      </w:r>
      <w:r w:rsidR="00FE3194">
        <w:rPr>
          <w:rFonts w:cs="Arial"/>
        </w:rPr>
        <w:t xml:space="preserve"> are:</w:t>
      </w:r>
    </w:p>
    <w:p w14:paraId="249B06AF" w14:textId="28802403" w:rsidR="00FE3194" w:rsidRDefault="00780851" w:rsidP="00FE3194">
      <w:pPr>
        <w:pStyle w:val="ListParagraph"/>
        <w:numPr>
          <w:ilvl w:val="0"/>
          <w:numId w:val="45"/>
        </w:numPr>
        <w:spacing w:line="240" w:lineRule="auto"/>
        <w:jc w:val="both"/>
        <w:outlineLvl w:val="0"/>
        <w:rPr>
          <w:rFonts w:ascii="Arial" w:hAnsi="Arial" w:cs="Arial"/>
          <w:sz w:val="24"/>
          <w:szCs w:val="24"/>
        </w:rPr>
      </w:pPr>
      <w:r>
        <w:rPr>
          <w:rFonts w:ascii="Arial" w:hAnsi="Arial" w:cs="Arial"/>
          <w:sz w:val="24"/>
          <w:szCs w:val="24"/>
        </w:rPr>
        <w:t xml:space="preserve">For the first time, </w:t>
      </w:r>
      <w:r w:rsidR="00FE3194" w:rsidRPr="0003051C">
        <w:rPr>
          <w:rFonts w:ascii="Arial" w:hAnsi="Arial" w:cs="Arial"/>
          <w:sz w:val="24"/>
          <w:szCs w:val="24"/>
        </w:rPr>
        <w:t xml:space="preserve">Fathi Yusuf now claims that he never even saw the Power of Attorney that so entirely favored him, and </w:t>
      </w:r>
      <w:r w:rsidR="00FE3194" w:rsidRPr="00064C05">
        <w:rPr>
          <w:rFonts w:ascii="Arial" w:hAnsi="Arial" w:cs="Arial"/>
          <w:i/>
          <w:iCs/>
          <w:sz w:val="24"/>
          <w:szCs w:val="24"/>
        </w:rPr>
        <w:t>totally</w:t>
      </w:r>
      <w:r w:rsidR="00FE3194" w:rsidRPr="0003051C">
        <w:rPr>
          <w:rFonts w:ascii="Arial" w:hAnsi="Arial" w:cs="Arial"/>
          <w:sz w:val="24"/>
          <w:szCs w:val="24"/>
        </w:rPr>
        <w:t xml:space="preserve"> excluded the Hameds. </w:t>
      </w:r>
      <w:r w:rsidR="0038257A" w:rsidRPr="0003051C">
        <w:rPr>
          <w:rFonts w:ascii="Arial" w:hAnsi="Arial" w:cs="Arial"/>
          <w:sz w:val="24"/>
          <w:szCs w:val="24"/>
        </w:rPr>
        <w:t>N</w:t>
      </w:r>
      <w:r w:rsidR="00FE3194" w:rsidRPr="0003051C">
        <w:rPr>
          <w:rFonts w:ascii="Arial" w:hAnsi="Arial" w:cs="Arial"/>
          <w:sz w:val="24"/>
          <w:szCs w:val="24"/>
        </w:rPr>
        <w:t>ot</w:t>
      </w:r>
      <w:r w:rsidR="0038257A" w:rsidRPr="0003051C">
        <w:rPr>
          <w:rFonts w:ascii="Arial" w:hAnsi="Arial" w:cs="Arial"/>
          <w:sz w:val="24"/>
          <w:szCs w:val="24"/>
        </w:rPr>
        <w:t xml:space="preserve"> </w:t>
      </w:r>
      <w:r w:rsidR="00FE3194" w:rsidRPr="0003051C">
        <w:rPr>
          <w:rFonts w:ascii="Arial" w:hAnsi="Arial" w:cs="Arial"/>
          <w:sz w:val="24"/>
          <w:szCs w:val="24"/>
        </w:rPr>
        <w:t xml:space="preserve">only that, but he now maintains that it was Hamed, not he who provided it </w:t>
      </w:r>
      <w:r w:rsidR="0066667C">
        <w:rPr>
          <w:rFonts w:ascii="Arial" w:hAnsi="Arial" w:cs="Arial"/>
          <w:sz w:val="24"/>
          <w:szCs w:val="24"/>
        </w:rPr>
        <w:t>t</w:t>
      </w:r>
      <w:r w:rsidR="00FE3194" w:rsidRPr="0003051C">
        <w:rPr>
          <w:rFonts w:ascii="Arial" w:hAnsi="Arial" w:cs="Arial"/>
          <w:sz w:val="24"/>
          <w:szCs w:val="24"/>
        </w:rPr>
        <w:t>o Manal</w:t>
      </w:r>
      <w:r w:rsidR="00064C05">
        <w:rPr>
          <w:rFonts w:ascii="Arial" w:hAnsi="Arial" w:cs="Arial"/>
          <w:sz w:val="24"/>
          <w:szCs w:val="24"/>
        </w:rPr>
        <w:t>. I</w:t>
      </w:r>
      <w:r w:rsidR="00FE3194" w:rsidRPr="0003051C">
        <w:rPr>
          <w:rFonts w:ascii="Arial" w:hAnsi="Arial" w:cs="Arial"/>
          <w:sz w:val="24"/>
          <w:szCs w:val="24"/>
        </w:rPr>
        <w:t xml:space="preserve">magine Hamed’s surprise when he learned of his OWN subterfuge in trying to give Fathi </w:t>
      </w:r>
      <w:r w:rsidR="00FE3194" w:rsidRPr="00064C05">
        <w:rPr>
          <w:rFonts w:ascii="Arial" w:hAnsi="Arial" w:cs="Arial"/>
          <w:i/>
          <w:iCs/>
          <w:sz w:val="24"/>
          <w:szCs w:val="24"/>
          <w:u w:val="single"/>
        </w:rPr>
        <w:t>the total power to take and dispose of the land for Fathi’s sole benefit</w:t>
      </w:r>
      <w:r w:rsidR="00FE3194" w:rsidRPr="0003051C">
        <w:rPr>
          <w:rFonts w:ascii="Arial" w:hAnsi="Arial" w:cs="Arial"/>
          <w:sz w:val="24"/>
          <w:szCs w:val="24"/>
        </w:rPr>
        <w:t xml:space="preserve">!  This is sworn to under oath by not only Fathi but also Isam and </w:t>
      </w:r>
      <w:r w:rsidR="00064C05">
        <w:rPr>
          <w:rFonts w:ascii="Arial" w:hAnsi="Arial" w:cs="Arial"/>
          <w:sz w:val="24"/>
          <w:szCs w:val="24"/>
        </w:rPr>
        <w:t>Manal.</w:t>
      </w:r>
      <w:r w:rsidR="00FE3194" w:rsidRPr="0003051C">
        <w:rPr>
          <w:rFonts w:ascii="Arial" w:hAnsi="Arial" w:cs="Arial"/>
          <w:sz w:val="24"/>
          <w:szCs w:val="24"/>
        </w:rPr>
        <w:t xml:space="preserve"> What a tremendous coup this would have been for Hamed at the exact time that the </w:t>
      </w:r>
      <w:r w:rsidR="0066667C" w:rsidRPr="0003051C">
        <w:rPr>
          <w:rFonts w:ascii="Arial" w:hAnsi="Arial" w:cs="Arial"/>
          <w:sz w:val="24"/>
          <w:szCs w:val="24"/>
        </w:rPr>
        <w:t>Criminal</w:t>
      </w:r>
      <w:r w:rsidR="00FE3194" w:rsidRPr="0003051C">
        <w:rPr>
          <w:rFonts w:ascii="Arial" w:hAnsi="Arial" w:cs="Arial"/>
          <w:sz w:val="24"/>
          <w:szCs w:val="24"/>
        </w:rPr>
        <w:t xml:space="preserve"> Settlement was being completed and Fathi was about to claim ownership of 100% of the supermarkets! This </w:t>
      </w:r>
      <w:r w:rsidR="00064C05">
        <w:rPr>
          <w:rFonts w:ascii="Arial" w:hAnsi="Arial" w:cs="Arial"/>
          <w:sz w:val="24"/>
          <w:szCs w:val="24"/>
        </w:rPr>
        <w:t xml:space="preserve">new fact </w:t>
      </w:r>
      <w:r w:rsidR="00FE3194" w:rsidRPr="0003051C">
        <w:rPr>
          <w:rFonts w:ascii="Arial" w:hAnsi="Arial" w:cs="Arial"/>
          <w:sz w:val="24"/>
          <w:szCs w:val="24"/>
        </w:rPr>
        <w:t>applies to the very heart of the conspiracy alleged.</w:t>
      </w:r>
    </w:p>
    <w:p w14:paraId="6F559213" w14:textId="77777777" w:rsidR="0003051C" w:rsidRPr="0003051C" w:rsidRDefault="0003051C" w:rsidP="0003051C">
      <w:pPr>
        <w:pStyle w:val="ListParagraph"/>
        <w:spacing w:line="240" w:lineRule="auto"/>
        <w:ind w:left="1080"/>
        <w:jc w:val="both"/>
        <w:outlineLvl w:val="0"/>
        <w:rPr>
          <w:rFonts w:ascii="Arial" w:hAnsi="Arial" w:cs="Arial"/>
          <w:sz w:val="12"/>
          <w:szCs w:val="12"/>
        </w:rPr>
      </w:pPr>
    </w:p>
    <w:p w14:paraId="430A8EC8" w14:textId="7C307857" w:rsidR="00FE3194" w:rsidRDefault="00FE3194" w:rsidP="00FE3194">
      <w:pPr>
        <w:pStyle w:val="ListParagraph"/>
        <w:numPr>
          <w:ilvl w:val="0"/>
          <w:numId w:val="45"/>
        </w:numPr>
        <w:spacing w:line="240" w:lineRule="auto"/>
        <w:jc w:val="both"/>
        <w:outlineLvl w:val="0"/>
        <w:rPr>
          <w:rFonts w:ascii="Arial" w:hAnsi="Arial" w:cs="Arial"/>
          <w:sz w:val="24"/>
          <w:szCs w:val="24"/>
        </w:rPr>
      </w:pPr>
      <w:r w:rsidRPr="0003051C">
        <w:rPr>
          <w:rFonts w:ascii="Arial" w:hAnsi="Arial" w:cs="Arial"/>
          <w:sz w:val="24"/>
          <w:szCs w:val="24"/>
        </w:rPr>
        <w:t xml:space="preserve">Though Isam and Manal have sworn under oath that they received a million dollars </w:t>
      </w:r>
      <w:r w:rsidR="00780851">
        <w:rPr>
          <w:rFonts w:ascii="Arial" w:hAnsi="Arial" w:cs="Arial"/>
          <w:sz w:val="24"/>
          <w:szCs w:val="24"/>
        </w:rPr>
        <w:t xml:space="preserve">(cash) </w:t>
      </w:r>
      <w:r w:rsidRPr="0003051C">
        <w:rPr>
          <w:rFonts w:ascii="Arial" w:hAnsi="Arial" w:cs="Arial"/>
          <w:sz w:val="24"/>
          <w:szCs w:val="24"/>
        </w:rPr>
        <w:t xml:space="preserve">in </w:t>
      </w:r>
      <w:r w:rsidR="00780851">
        <w:rPr>
          <w:rFonts w:ascii="Arial" w:hAnsi="Arial" w:cs="Arial"/>
          <w:sz w:val="24"/>
          <w:szCs w:val="24"/>
        </w:rPr>
        <w:t>‘</w:t>
      </w:r>
      <w:r w:rsidRPr="0003051C">
        <w:rPr>
          <w:rFonts w:ascii="Arial" w:hAnsi="Arial" w:cs="Arial"/>
          <w:sz w:val="24"/>
          <w:szCs w:val="24"/>
        </w:rPr>
        <w:t>interest</w:t>
      </w:r>
      <w:r w:rsidR="00780851">
        <w:rPr>
          <w:rFonts w:ascii="Arial" w:hAnsi="Arial" w:cs="Arial"/>
          <w:sz w:val="24"/>
          <w:szCs w:val="24"/>
        </w:rPr>
        <w:t>’</w:t>
      </w:r>
      <w:r w:rsidRPr="0003051C">
        <w:rPr>
          <w:rFonts w:ascii="Arial" w:hAnsi="Arial" w:cs="Arial"/>
          <w:sz w:val="24"/>
          <w:szCs w:val="24"/>
        </w:rPr>
        <w:t xml:space="preserve"> from Sixteen Plus on THIS note, they have just recently revealed that they have no </w:t>
      </w:r>
      <w:r w:rsidR="00780851">
        <w:rPr>
          <w:rFonts w:ascii="Arial" w:hAnsi="Arial" w:cs="Arial"/>
          <w:sz w:val="24"/>
          <w:szCs w:val="24"/>
        </w:rPr>
        <w:t xml:space="preserve">supporting </w:t>
      </w:r>
      <w:r w:rsidRPr="0003051C">
        <w:rPr>
          <w:rFonts w:ascii="Arial" w:hAnsi="Arial" w:cs="Arial"/>
          <w:sz w:val="24"/>
          <w:szCs w:val="24"/>
        </w:rPr>
        <w:t xml:space="preserve">documents, never put any of it in any bank or other institution, never paid taxes on the income anywhere, have spent every cent with no ability to state when, where or how—and, to put a cherry on it—will not provide Manal’s </w:t>
      </w:r>
      <w:r w:rsidR="00780851">
        <w:rPr>
          <w:rFonts w:ascii="Arial" w:hAnsi="Arial" w:cs="Arial"/>
          <w:sz w:val="24"/>
          <w:szCs w:val="24"/>
        </w:rPr>
        <w:t xml:space="preserve">contemporaneous </w:t>
      </w:r>
      <w:r w:rsidRPr="0003051C">
        <w:rPr>
          <w:rFonts w:ascii="Arial" w:hAnsi="Arial" w:cs="Arial"/>
          <w:sz w:val="24"/>
          <w:szCs w:val="24"/>
        </w:rPr>
        <w:t>bank account statements</w:t>
      </w:r>
      <w:r w:rsidR="00780851">
        <w:rPr>
          <w:rFonts w:ascii="Arial" w:hAnsi="Arial" w:cs="Arial"/>
          <w:sz w:val="24"/>
          <w:szCs w:val="24"/>
        </w:rPr>
        <w:t>, tax filings</w:t>
      </w:r>
      <w:r w:rsidRPr="0003051C">
        <w:rPr>
          <w:rFonts w:ascii="Arial" w:hAnsi="Arial" w:cs="Arial"/>
          <w:sz w:val="24"/>
          <w:szCs w:val="24"/>
        </w:rPr>
        <w:t xml:space="preserve"> or even her address. </w:t>
      </w:r>
      <w:r w:rsidR="00780851">
        <w:rPr>
          <w:rFonts w:ascii="Arial" w:hAnsi="Arial" w:cs="Arial"/>
          <w:sz w:val="24"/>
          <w:szCs w:val="24"/>
        </w:rPr>
        <w:t xml:space="preserve">She alleges she never has had a bank account and does not have any now. </w:t>
      </w:r>
      <w:r w:rsidRPr="0003051C">
        <w:rPr>
          <w:rFonts w:ascii="Arial" w:hAnsi="Arial" w:cs="Arial"/>
          <w:sz w:val="24"/>
          <w:szCs w:val="24"/>
        </w:rPr>
        <w:t xml:space="preserve">This </w:t>
      </w:r>
      <w:r w:rsidR="00780851">
        <w:rPr>
          <w:rFonts w:ascii="Arial" w:hAnsi="Arial" w:cs="Arial"/>
          <w:sz w:val="24"/>
          <w:szCs w:val="24"/>
        </w:rPr>
        <w:t xml:space="preserve">allegation of the million dollars </w:t>
      </w:r>
      <w:r w:rsidRPr="0003051C">
        <w:rPr>
          <w:rFonts w:ascii="Arial" w:hAnsi="Arial" w:cs="Arial"/>
          <w:sz w:val="24"/>
          <w:szCs w:val="24"/>
        </w:rPr>
        <w:t>goes to the fundamental point they are all trying to make that the note was partially performed.</w:t>
      </w:r>
      <w:r w:rsidR="006123D3" w:rsidRPr="0003051C">
        <w:rPr>
          <w:rFonts w:ascii="Arial" w:hAnsi="Arial" w:cs="Arial"/>
          <w:sz w:val="24"/>
          <w:szCs w:val="24"/>
        </w:rPr>
        <w:t xml:space="preserve"> And further new disclosures allege that </w:t>
      </w:r>
      <w:r w:rsidR="00064C05">
        <w:rPr>
          <w:rFonts w:ascii="Arial" w:hAnsi="Arial" w:cs="Arial"/>
          <w:sz w:val="24"/>
          <w:szCs w:val="24"/>
        </w:rPr>
        <w:t xml:space="preserve">while never depositing, keeping or transferring those through </w:t>
      </w:r>
      <w:r w:rsidR="006123D3" w:rsidRPr="0003051C">
        <w:rPr>
          <w:rFonts w:ascii="Arial" w:hAnsi="Arial" w:cs="Arial"/>
          <w:sz w:val="24"/>
          <w:szCs w:val="24"/>
        </w:rPr>
        <w:t xml:space="preserve">in any institution, Isam would dole out small amounts to Manal </w:t>
      </w:r>
      <w:r w:rsidR="00064C05">
        <w:rPr>
          <w:rFonts w:ascii="Arial" w:hAnsi="Arial" w:cs="Arial"/>
          <w:sz w:val="24"/>
          <w:szCs w:val="24"/>
        </w:rPr>
        <w:t xml:space="preserve">in cash </w:t>
      </w:r>
      <w:r w:rsidR="006123D3" w:rsidRPr="0003051C">
        <w:rPr>
          <w:rFonts w:ascii="Arial" w:hAnsi="Arial" w:cs="Arial"/>
          <w:sz w:val="24"/>
          <w:szCs w:val="24"/>
        </w:rPr>
        <w:t>as she needed it—presumably from under his mattress to under hers—as no record exists of these transfers either—or of her expenditures or the assets obtained.</w:t>
      </w:r>
    </w:p>
    <w:p w14:paraId="67F59F4F" w14:textId="77777777" w:rsidR="0003051C" w:rsidRPr="0003051C" w:rsidRDefault="0003051C" w:rsidP="0003051C">
      <w:pPr>
        <w:pStyle w:val="ListParagraph"/>
        <w:spacing w:line="240" w:lineRule="auto"/>
        <w:ind w:left="1080"/>
        <w:jc w:val="both"/>
        <w:outlineLvl w:val="0"/>
        <w:rPr>
          <w:rFonts w:ascii="Arial" w:hAnsi="Arial" w:cs="Arial"/>
          <w:sz w:val="12"/>
          <w:szCs w:val="12"/>
        </w:rPr>
      </w:pPr>
    </w:p>
    <w:p w14:paraId="3AAA9095" w14:textId="522CB8BB" w:rsidR="006123D3" w:rsidRPr="0003051C" w:rsidRDefault="006123D3" w:rsidP="00FE3194">
      <w:pPr>
        <w:pStyle w:val="ListParagraph"/>
        <w:numPr>
          <w:ilvl w:val="0"/>
          <w:numId w:val="45"/>
        </w:numPr>
        <w:spacing w:line="240" w:lineRule="auto"/>
        <w:jc w:val="both"/>
        <w:outlineLvl w:val="0"/>
        <w:rPr>
          <w:rFonts w:ascii="Arial" w:hAnsi="Arial" w:cs="Arial"/>
          <w:sz w:val="24"/>
          <w:szCs w:val="24"/>
        </w:rPr>
      </w:pPr>
      <w:r w:rsidRPr="0003051C">
        <w:rPr>
          <w:rFonts w:ascii="Arial" w:hAnsi="Arial" w:cs="Arial"/>
          <w:sz w:val="24"/>
          <w:szCs w:val="24"/>
        </w:rPr>
        <w:t xml:space="preserve">Manal was not, as </w:t>
      </w:r>
      <w:r w:rsidR="00282A95">
        <w:rPr>
          <w:rFonts w:ascii="Arial" w:hAnsi="Arial" w:cs="Arial"/>
          <w:sz w:val="24"/>
          <w:szCs w:val="24"/>
        </w:rPr>
        <w:t>Fathi</w:t>
      </w:r>
      <w:r w:rsidRPr="0003051C">
        <w:rPr>
          <w:rFonts w:ascii="Arial" w:hAnsi="Arial" w:cs="Arial"/>
          <w:sz w:val="24"/>
          <w:szCs w:val="24"/>
        </w:rPr>
        <w:t xml:space="preserve"> repeatedly informed both Hamed in discovery and the Court in pleadings, either on St. Martin or at the address Fathi gave.  She was back in Palestine. In fact, she had gone there a decade before—presumably to get a better bang for the buck on her untaxed million dollars. Yet, oddly, the letters to Hamed </w:t>
      </w:r>
      <w:r w:rsidR="009C6F00">
        <w:rPr>
          <w:rFonts w:ascii="Arial" w:hAnsi="Arial" w:cs="Arial"/>
          <w:sz w:val="24"/>
          <w:szCs w:val="24"/>
        </w:rPr>
        <w:t>in 344 (his 2015 case that has been dismissed) c</w:t>
      </w:r>
      <w:r w:rsidRPr="0003051C">
        <w:rPr>
          <w:rFonts w:ascii="Arial" w:hAnsi="Arial" w:cs="Arial"/>
          <w:sz w:val="24"/>
          <w:szCs w:val="24"/>
        </w:rPr>
        <w:t>ame from St. Martin, and from a St. Martin lawyer. Fathi file</w:t>
      </w:r>
      <w:r w:rsidR="00064C05">
        <w:rPr>
          <w:rFonts w:ascii="Arial" w:hAnsi="Arial" w:cs="Arial"/>
          <w:sz w:val="24"/>
          <w:szCs w:val="24"/>
        </w:rPr>
        <w:t>d</w:t>
      </w:r>
      <w:r w:rsidRPr="0003051C">
        <w:rPr>
          <w:rFonts w:ascii="Arial" w:hAnsi="Arial" w:cs="Arial"/>
          <w:sz w:val="24"/>
          <w:szCs w:val="24"/>
        </w:rPr>
        <w:t xml:space="preserve"> a motion to be protected from giving </w:t>
      </w:r>
      <w:r w:rsidR="00064C05">
        <w:rPr>
          <w:rFonts w:ascii="Arial" w:hAnsi="Arial" w:cs="Arial"/>
          <w:sz w:val="24"/>
          <w:szCs w:val="24"/>
        </w:rPr>
        <w:t xml:space="preserve">her STM </w:t>
      </w:r>
      <w:r w:rsidRPr="0003051C">
        <w:rPr>
          <w:rFonts w:ascii="Arial" w:hAnsi="Arial" w:cs="Arial"/>
          <w:sz w:val="24"/>
          <w:szCs w:val="24"/>
        </w:rPr>
        <w:t>contact information to Hamed, and when ordered to do so, said he didn’t have it.</w:t>
      </w:r>
      <w:r w:rsidR="00064C05">
        <w:rPr>
          <w:rFonts w:ascii="Arial" w:hAnsi="Arial" w:cs="Arial"/>
          <w:sz w:val="24"/>
          <w:szCs w:val="24"/>
        </w:rPr>
        <w:t xml:space="preserve"> And</w:t>
      </w:r>
      <w:r w:rsidR="009C6F00">
        <w:rPr>
          <w:rFonts w:ascii="Arial" w:hAnsi="Arial" w:cs="Arial"/>
          <w:sz w:val="24"/>
          <w:szCs w:val="24"/>
        </w:rPr>
        <w:t>, as it now turns out,</w:t>
      </w:r>
      <w:r w:rsidR="00064C05">
        <w:rPr>
          <w:rFonts w:ascii="Arial" w:hAnsi="Arial" w:cs="Arial"/>
          <w:sz w:val="24"/>
          <w:szCs w:val="24"/>
        </w:rPr>
        <w:t xml:space="preserve"> she wasn’t really there.</w:t>
      </w:r>
      <w:r w:rsidRPr="0003051C">
        <w:rPr>
          <w:rFonts w:ascii="Arial" w:hAnsi="Arial" w:cs="Arial"/>
          <w:sz w:val="24"/>
          <w:szCs w:val="24"/>
        </w:rPr>
        <w:t xml:space="preserve"> </w:t>
      </w:r>
    </w:p>
    <w:p w14:paraId="2C82D3E3" w14:textId="77777777" w:rsidR="006123D3" w:rsidRPr="000F78EF" w:rsidRDefault="006123D3" w:rsidP="000F78EF">
      <w:pPr>
        <w:ind w:left="720"/>
        <w:jc w:val="both"/>
        <w:outlineLvl w:val="0"/>
        <w:rPr>
          <w:rFonts w:cs="Arial"/>
        </w:rPr>
      </w:pPr>
    </w:p>
    <w:p w14:paraId="6DC82DE3" w14:textId="00E14D26" w:rsidR="00FE3194" w:rsidRPr="0003051C" w:rsidRDefault="0003051C" w:rsidP="00557402">
      <w:pPr>
        <w:spacing w:line="480" w:lineRule="auto"/>
        <w:jc w:val="both"/>
        <w:outlineLvl w:val="0"/>
        <w:rPr>
          <w:rFonts w:cs="Arial"/>
          <w:b/>
          <w:bCs/>
        </w:rPr>
      </w:pPr>
      <w:r w:rsidRPr="0003051C">
        <w:rPr>
          <w:rFonts w:cs="Arial"/>
          <w:b/>
          <w:bCs/>
        </w:rPr>
        <w:t>IV. Conclusion</w:t>
      </w:r>
    </w:p>
    <w:p w14:paraId="5E594A7F" w14:textId="09EF51B8" w:rsidR="0003051C" w:rsidRDefault="0003051C" w:rsidP="00557402">
      <w:pPr>
        <w:spacing w:line="480" w:lineRule="auto"/>
        <w:jc w:val="both"/>
        <w:outlineLvl w:val="0"/>
        <w:rPr>
          <w:rFonts w:cs="Arial"/>
        </w:rPr>
      </w:pPr>
      <w:r>
        <w:rPr>
          <w:rFonts w:cs="Arial"/>
        </w:rPr>
        <w:tab/>
        <w:t xml:space="preserve">Like </w:t>
      </w:r>
      <w:r w:rsidRPr="0003051C">
        <w:rPr>
          <w:rFonts w:cs="Arial"/>
          <w:i/>
          <w:iCs/>
        </w:rPr>
        <w:t>Davis</w:t>
      </w:r>
      <w:r>
        <w:rPr>
          <w:rFonts w:cs="Arial"/>
        </w:rPr>
        <w:t xml:space="preserve"> this case involves a motion to amend at a very early stage of the proceedings despite the length of time the action has been pending. The refusal to engage on the fa</w:t>
      </w:r>
      <w:r w:rsidR="000F78EF">
        <w:rPr>
          <w:rFonts w:cs="Arial"/>
        </w:rPr>
        <w:t>c</w:t>
      </w:r>
      <w:r>
        <w:rPr>
          <w:rFonts w:cs="Arial"/>
        </w:rPr>
        <w:t xml:space="preserve">ts and law in the </w:t>
      </w:r>
      <w:r w:rsidR="000F78EF">
        <w:rPr>
          <w:rFonts w:cs="Arial"/>
        </w:rPr>
        <w:t xml:space="preserve">instant </w:t>
      </w:r>
      <w:r>
        <w:rPr>
          <w:rFonts w:cs="Arial"/>
        </w:rPr>
        <w:t>motion are both dispositive and telling. The Rule is liberal and our Supreme Court’s directions are even more so.</w:t>
      </w:r>
      <w:r w:rsidR="007C2BDC">
        <w:rPr>
          <w:rFonts w:cs="Arial"/>
        </w:rPr>
        <w:t xml:space="preserve"> Thus, the motion should be granted.</w:t>
      </w:r>
    </w:p>
    <w:p w14:paraId="3AF2C836" w14:textId="2F3D411D" w:rsidR="00557402" w:rsidRDefault="0003051C" w:rsidP="007C2BDC">
      <w:pPr>
        <w:spacing w:line="480" w:lineRule="auto"/>
        <w:jc w:val="both"/>
        <w:outlineLvl w:val="0"/>
      </w:pPr>
      <w:r>
        <w:rPr>
          <w:rFonts w:cs="Arial"/>
        </w:rPr>
        <w:lastRenderedPageBreak/>
        <w:tab/>
      </w:r>
    </w:p>
    <w:p w14:paraId="4A1FDBDF" w14:textId="18CDE222" w:rsidR="00165F72" w:rsidRPr="00707A47" w:rsidRDefault="00165F72" w:rsidP="0003051C">
      <w:pPr>
        <w:ind w:left="4320" w:firstLine="720"/>
        <w:rPr>
          <w:rFonts w:cs="Arial"/>
          <w:b/>
        </w:rPr>
      </w:pPr>
      <w:r w:rsidRPr="00707A47">
        <w:rPr>
          <w:rFonts w:cs="Arial"/>
          <w:b/>
        </w:rPr>
        <w:t xml:space="preserve">Counsel for </w:t>
      </w:r>
      <w:r w:rsidR="00033207" w:rsidRPr="00707A47">
        <w:rPr>
          <w:rFonts w:cs="Arial"/>
          <w:b/>
        </w:rPr>
        <w:t>Hisham Hamed</w:t>
      </w:r>
    </w:p>
    <w:p w14:paraId="7F7C9112" w14:textId="63F92F83" w:rsidR="004C3DB7" w:rsidRPr="00707A47" w:rsidRDefault="004C3DB7" w:rsidP="00826D4C">
      <w:pPr>
        <w:autoSpaceDE w:val="0"/>
        <w:autoSpaceDN w:val="0"/>
        <w:adjustRightInd w:val="0"/>
        <w:jc w:val="both"/>
        <w:outlineLvl w:val="0"/>
        <w:rPr>
          <w:rFonts w:cs="Arial"/>
          <w:color w:val="222A35" w:themeColor="text2" w:themeShade="80"/>
        </w:rPr>
      </w:pPr>
      <w:r w:rsidRPr="00707A47">
        <w:rPr>
          <w:rFonts w:cs="Arial"/>
          <w:b/>
        </w:rPr>
        <w:t>Dated</w:t>
      </w:r>
      <w:r w:rsidR="003B12E6" w:rsidRPr="00707A47">
        <w:rPr>
          <w:rFonts w:cs="Arial"/>
          <w:b/>
        </w:rPr>
        <w:t xml:space="preserve">: </w:t>
      </w:r>
      <w:r w:rsidR="00064C05">
        <w:rPr>
          <w:rFonts w:cs="Arial"/>
          <w:bCs/>
        </w:rPr>
        <w:t xml:space="preserve">February </w:t>
      </w:r>
      <w:r w:rsidR="004114C6">
        <w:rPr>
          <w:rFonts w:cs="Arial"/>
          <w:bCs/>
        </w:rPr>
        <w:t>6</w:t>
      </w:r>
      <w:r w:rsidR="00064C05">
        <w:rPr>
          <w:rFonts w:cs="Arial"/>
          <w:bCs/>
        </w:rPr>
        <w:t xml:space="preserve">, </w:t>
      </w:r>
      <w:r w:rsidRPr="00707A47">
        <w:rPr>
          <w:rFonts w:cs="Arial"/>
          <w:bCs/>
        </w:rPr>
        <w:t>202</w:t>
      </w:r>
      <w:r w:rsidR="003B12E6" w:rsidRPr="00707A47">
        <w:rPr>
          <w:rFonts w:cs="Arial"/>
          <w:bCs/>
        </w:rPr>
        <w:t>3</w:t>
      </w:r>
      <w:r w:rsidRPr="00707A47">
        <w:rPr>
          <w:rFonts w:cs="Arial"/>
          <w:bCs/>
        </w:rPr>
        <w:tab/>
      </w:r>
      <w:r w:rsidR="009C05CC" w:rsidRPr="00707A47">
        <w:rPr>
          <w:rFonts w:cs="Arial"/>
        </w:rPr>
        <w:tab/>
      </w:r>
      <w:r w:rsidR="003B12E6" w:rsidRPr="00707A47">
        <w:rPr>
          <w:rFonts w:cs="Arial"/>
        </w:rPr>
        <w:tab/>
      </w:r>
      <w:r w:rsidRPr="00707A47">
        <w:rPr>
          <w:rFonts w:cs="Arial"/>
        </w:rPr>
        <w:tab/>
      </w:r>
      <w:r w:rsidRPr="000F78EF">
        <w:rPr>
          <w:rFonts w:ascii="CarlHartmann" w:hAnsi="CarlHartmann" w:cs="Arial"/>
          <w:b/>
          <w:bCs/>
          <w:color w:val="0070C0"/>
          <w:sz w:val="72"/>
          <w:szCs w:val="72"/>
        </w:rPr>
        <w:t>A</w:t>
      </w:r>
    </w:p>
    <w:p w14:paraId="68D65433" w14:textId="0C946A47" w:rsidR="004C3DB7" w:rsidRPr="00707A47" w:rsidRDefault="004C3DB7" w:rsidP="00826D4C">
      <w:pPr>
        <w:autoSpaceDE w:val="0"/>
        <w:autoSpaceDN w:val="0"/>
        <w:adjustRightInd w:val="0"/>
        <w:jc w:val="both"/>
        <w:rPr>
          <w:rFonts w:cs="Arial"/>
          <w:b/>
        </w:rPr>
      </w:pP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b/>
        </w:rPr>
        <w:t>Carl J. Hartmann III, Esq.</w:t>
      </w:r>
      <w:r w:rsidRPr="00707A47">
        <w:rPr>
          <w:rFonts w:cs="Arial"/>
          <w:bCs/>
        </w:rPr>
        <w:t xml:space="preserve"> </w:t>
      </w:r>
      <w:r w:rsidR="0004301D" w:rsidRPr="00707A47">
        <w:rPr>
          <w:rFonts w:cs="Arial"/>
          <w:bCs/>
        </w:rPr>
        <w:t>(Bar #48)</w:t>
      </w:r>
    </w:p>
    <w:p w14:paraId="016921B1" w14:textId="4E841B27" w:rsidR="004C3DB7" w:rsidRPr="00707A47" w:rsidRDefault="004C3DB7" w:rsidP="00826D4C">
      <w:pPr>
        <w:rPr>
          <w:rFonts w:cs="Arial"/>
          <w:i/>
        </w:rPr>
      </w:pP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i/>
        </w:rPr>
        <w:t xml:space="preserve">Co-Counsel for </w:t>
      </w:r>
      <w:r w:rsidR="0004301D" w:rsidRPr="00707A47">
        <w:rPr>
          <w:rFonts w:cs="Arial"/>
          <w:i/>
        </w:rPr>
        <w:t>Hisham Hamed</w:t>
      </w:r>
    </w:p>
    <w:p w14:paraId="393E2BC3" w14:textId="3D1275D8" w:rsidR="004C3DB7" w:rsidRPr="00707A47" w:rsidRDefault="004C3DB7" w:rsidP="00826D4C">
      <w:pPr>
        <w:rPr>
          <w:rFonts w:cs="Arial"/>
        </w:rPr>
      </w:pP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t>2940 Brookwind Dr,</w:t>
      </w:r>
    </w:p>
    <w:p w14:paraId="2121B4FB" w14:textId="083FAEAC" w:rsidR="004C3DB7" w:rsidRPr="00707A47" w:rsidRDefault="004C3DB7" w:rsidP="00826D4C">
      <w:pPr>
        <w:rPr>
          <w:rFonts w:cs="Arial"/>
        </w:rPr>
      </w:pP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t>Holland, MI 49424</w:t>
      </w:r>
    </w:p>
    <w:p w14:paraId="2528B7A9" w14:textId="3CBF2CA5" w:rsidR="004C3DB7" w:rsidRDefault="004C3DB7" w:rsidP="00826D4C">
      <w:pPr>
        <w:rPr>
          <w:rFonts w:cs="Arial"/>
        </w:rPr>
      </w:pP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t>Telephone: (340) 642-4422</w:t>
      </w:r>
    </w:p>
    <w:p w14:paraId="261A83E5" w14:textId="7BD53227" w:rsidR="004C3DB7" w:rsidRPr="00707A47" w:rsidRDefault="002F0F33" w:rsidP="002F0F33">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4C3DB7" w:rsidRPr="00707A47">
        <w:rPr>
          <w:rFonts w:cs="Arial"/>
        </w:rPr>
        <w:t>Email: carl@carlhartmann.com</w:t>
      </w:r>
    </w:p>
    <w:p w14:paraId="579E6AAA" w14:textId="736EF2BE" w:rsidR="004C3DB7" w:rsidRPr="00707A47" w:rsidRDefault="004C3DB7" w:rsidP="00826D4C">
      <w:pPr>
        <w:jc w:val="both"/>
        <w:rPr>
          <w:rFonts w:cs="Arial"/>
        </w:rPr>
      </w:pPr>
    </w:p>
    <w:p w14:paraId="74D4AEBA" w14:textId="51F45CBB" w:rsidR="00165F72" w:rsidRPr="00707A47" w:rsidRDefault="00165F72" w:rsidP="00826D4C">
      <w:pPr>
        <w:ind w:firstLine="720"/>
        <w:jc w:val="both"/>
        <w:rPr>
          <w:rFonts w:cs="Arial"/>
          <w:bCs/>
        </w:rPr>
      </w:pPr>
      <w:r w:rsidRPr="00707A47">
        <w:rPr>
          <w:rFonts w:cs="Arial"/>
          <w:i/>
        </w:rPr>
        <w:tab/>
      </w:r>
      <w:r w:rsidRPr="00707A47">
        <w:rPr>
          <w:rFonts w:cs="Arial"/>
          <w:i/>
        </w:rPr>
        <w:tab/>
      </w:r>
      <w:r w:rsidRPr="00707A47">
        <w:rPr>
          <w:rFonts w:cs="Arial"/>
          <w:i/>
        </w:rPr>
        <w:tab/>
      </w:r>
      <w:r w:rsidR="002F0F33">
        <w:rPr>
          <w:rFonts w:cs="Arial"/>
          <w:i/>
        </w:rPr>
        <w:tab/>
      </w:r>
      <w:r w:rsidR="002F0F33">
        <w:rPr>
          <w:rFonts w:cs="Arial"/>
          <w:i/>
        </w:rPr>
        <w:tab/>
      </w:r>
      <w:r w:rsidR="002F0F33">
        <w:rPr>
          <w:rFonts w:cs="Arial"/>
          <w:i/>
        </w:rPr>
        <w:tab/>
      </w:r>
      <w:r w:rsidRPr="00707A47">
        <w:rPr>
          <w:rFonts w:cs="Arial"/>
          <w:b/>
        </w:rPr>
        <w:t>Joel H. Holt, Esq. (</w:t>
      </w:r>
      <w:r w:rsidRPr="00707A47">
        <w:rPr>
          <w:rFonts w:cs="Arial"/>
          <w:bCs/>
        </w:rPr>
        <w:t>Bar # 6)</w:t>
      </w:r>
    </w:p>
    <w:p w14:paraId="01212556" w14:textId="6A452DA0" w:rsidR="0004301D" w:rsidRPr="00707A47" w:rsidRDefault="0004301D" w:rsidP="00826D4C">
      <w:pPr>
        <w:ind w:firstLine="720"/>
        <w:jc w:val="both"/>
        <w:rPr>
          <w:rFonts w:cs="Arial"/>
          <w:bCs/>
          <w:i/>
          <w:iCs/>
        </w:rPr>
      </w:pPr>
      <w:r w:rsidRPr="00707A47">
        <w:rPr>
          <w:rFonts w:cs="Arial"/>
          <w:b/>
        </w:rPr>
        <w:tab/>
      </w:r>
      <w:r w:rsidRPr="00707A47">
        <w:rPr>
          <w:rFonts w:cs="Arial"/>
          <w:b/>
        </w:rPr>
        <w:tab/>
      </w:r>
      <w:r w:rsidRPr="00707A47">
        <w:rPr>
          <w:rFonts w:cs="Arial"/>
          <w:b/>
        </w:rPr>
        <w:tab/>
      </w:r>
      <w:r w:rsidR="002F0F33">
        <w:rPr>
          <w:rFonts w:cs="Arial"/>
          <w:b/>
        </w:rPr>
        <w:tab/>
      </w:r>
      <w:r w:rsidR="002F0F33">
        <w:rPr>
          <w:rFonts w:cs="Arial"/>
          <w:b/>
        </w:rPr>
        <w:tab/>
      </w:r>
      <w:r w:rsidR="002F0F33">
        <w:rPr>
          <w:rFonts w:cs="Arial"/>
          <w:b/>
        </w:rPr>
        <w:tab/>
      </w:r>
      <w:r w:rsidRPr="00707A47">
        <w:rPr>
          <w:rFonts w:cs="Arial"/>
          <w:bCs/>
          <w:i/>
          <w:iCs/>
        </w:rPr>
        <w:t>Counsel for Hisham Hamed</w:t>
      </w:r>
    </w:p>
    <w:p w14:paraId="1E401639" w14:textId="3745FF86" w:rsidR="00165F72" w:rsidRPr="00707A47" w:rsidRDefault="00165F72" w:rsidP="00826D4C">
      <w:pPr>
        <w:rPr>
          <w:rFonts w:cs="Arial"/>
        </w:rPr>
      </w:pP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00DC6A24" w:rsidRPr="00707A47">
        <w:rPr>
          <w:rFonts w:cs="Arial"/>
        </w:rPr>
        <w:t>LAW OFFICES OF JOEL H. HOLT</w:t>
      </w:r>
    </w:p>
    <w:p w14:paraId="1BA15DE7" w14:textId="77777777" w:rsidR="00165F72" w:rsidRPr="00707A47" w:rsidRDefault="00165F72" w:rsidP="00826D4C">
      <w:pPr>
        <w:rPr>
          <w:rFonts w:cs="Arial"/>
        </w:rPr>
      </w:pP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t>2132 Company Street,</w:t>
      </w:r>
    </w:p>
    <w:p w14:paraId="189C2E8D" w14:textId="77777777" w:rsidR="00165F72" w:rsidRPr="00707A47" w:rsidRDefault="00165F72" w:rsidP="00826D4C">
      <w:pPr>
        <w:rPr>
          <w:rFonts w:cs="Arial"/>
        </w:rPr>
      </w:pP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t>Christiansted, Vl 00820</w:t>
      </w:r>
    </w:p>
    <w:p w14:paraId="3AB2A393" w14:textId="77777777" w:rsidR="00165F72" w:rsidRPr="00707A47" w:rsidRDefault="00165F72" w:rsidP="00826D4C">
      <w:pPr>
        <w:rPr>
          <w:rFonts w:cs="Arial"/>
        </w:rPr>
      </w:pP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t>Email: holtvi@aol.com</w:t>
      </w:r>
    </w:p>
    <w:p w14:paraId="723A1BC3" w14:textId="77777777" w:rsidR="00165F72" w:rsidRPr="00707A47" w:rsidRDefault="00165F72" w:rsidP="00826D4C">
      <w:pPr>
        <w:rPr>
          <w:rFonts w:cs="Arial"/>
        </w:rPr>
      </w:pP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t xml:space="preserve">Phone: (340) 773-8709/ </w:t>
      </w:r>
    </w:p>
    <w:p w14:paraId="7E5117C6" w14:textId="3137ADF5" w:rsidR="0004301D" w:rsidRPr="00707A47" w:rsidRDefault="00165F72" w:rsidP="000F78EF">
      <w:pPr>
        <w:ind w:left="4320" w:firstLine="720"/>
        <w:rPr>
          <w:rFonts w:cs="Arial"/>
        </w:rPr>
      </w:pPr>
      <w:r w:rsidRPr="00707A47">
        <w:rPr>
          <w:rFonts w:cs="Arial"/>
        </w:rPr>
        <w:t>Fax: (340) 773-8677</w:t>
      </w:r>
      <w:r w:rsidR="0004301D" w:rsidRPr="00707A47">
        <w:rPr>
          <w:rFonts w:cs="Arial"/>
        </w:rPr>
        <w:br w:type="page"/>
      </w:r>
    </w:p>
    <w:p w14:paraId="7E109977" w14:textId="77777777" w:rsidR="000C40D7" w:rsidRPr="00707A47" w:rsidRDefault="000C40D7" w:rsidP="00826D4C">
      <w:pPr>
        <w:pStyle w:val="Heading4"/>
        <w:spacing w:before="118"/>
        <w:jc w:val="center"/>
        <w:rPr>
          <w:rFonts w:ascii="Arial" w:hAnsi="Arial" w:cs="Arial"/>
          <w:b/>
          <w:bCs/>
          <w:i w:val="0"/>
          <w:iCs w:val="0"/>
          <w:color w:val="000000" w:themeColor="text1"/>
          <w:spacing w:val="-2"/>
          <w:w w:val="95"/>
          <w:sz w:val="24"/>
          <w:szCs w:val="24"/>
        </w:rPr>
      </w:pPr>
      <w:r w:rsidRPr="00707A47">
        <w:rPr>
          <w:rFonts w:ascii="Arial" w:hAnsi="Arial" w:cs="Arial"/>
          <w:b/>
          <w:bCs/>
          <w:i w:val="0"/>
          <w:iCs w:val="0"/>
          <w:color w:val="000000" w:themeColor="text1"/>
          <w:w w:val="95"/>
          <w:sz w:val="24"/>
          <w:szCs w:val="24"/>
        </w:rPr>
        <w:lastRenderedPageBreak/>
        <w:t>CERTIFICATE</w:t>
      </w:r>
      <w:r w:rsidRPr="00707A47">
        <w:rPr>
          <w:rFonts w:ascii="Arial" w:hAnsi="Arial" w:cs="Arial"/>
          <w:b/>
          <w:bCs/>
          <w:i w:val="0"/>
          <w:iCs w:val="0"/>
          <w:color w:val="000000" w:themeColor="text1"/>
          <w:spacing w:val="4"/>
          <w:sz w:val="24"/>
          <w:szCs w:val="24"/>
        </w:rPr>
        <w:t xml:space="preserve"> </w:t>
      </w:r>
      <w:r w:rsidRPr="00707A47">
        <w:rPr>
          <w:rFonts w:ascii="Arial" w:hAnsi="Arial" w:cs="Arial"/>
          <w:b/>
          <w:bCs/>
          <w:i w:val="0"/>
          <w:iCs w:val="0"/>
          <w:color w:val="000000" w:themeColor="text1"/>
          <w:w w:val="95"/>
          <w:sz w:val="24"/>
          <w:szCs w:val="24"/>
        </w:rPr>
        <w:t>OF</w:t>
      </w:r>
      <w:r w:rsidRPr="00707A47">
        <w:rPr>
          <w:rFonts w:ascii="Arial" w:hAnsi="Arial" w:cs="Arial"/>
          <w:b/>
          <w:bCs/>
          <w:i w:val="0"/>
          <w:iCs w:val="0"/>
          <w:color w:val="000000" w:themeColor="text1"/>
          <w:spacing w:val="15"/>
          <w:sz w:val="24"/>
          <w:szCs w:val="24"/>
        </w:rPr>
        <w:t xml:space="preserve"> </w:t>
      </w:r>
      <w:r w:rsidRPr="00707A47">
        <w:rPr>
          <w:rFonts w:ascii="Arial" w:hAnsi="Arial" w:cs="Arial"/>
          <w:b/>
          <w:bCs/>
          <w:i w:val="0"/>
          <w:iCs w:val="0"/>
          <w:color w:val="000000" w:themeColor="text1"/>
          <w:spacing w:val="-2"/>
          <w:w w:val="95"/>
          <w:sz w:val="24"/>
          <w:szCs w:val="24"/>
        </w:rPr>
        <w:t>SERVICE</w:t>
      </w:r>
    </w:p>
    <w:p w14:paraId="5DDC65F0" w14:textId="77777777" w:rsidR="000C40D7" w:rsidRPr="00707A47" w:rsidRDefault="000C40D7" w:rsidP="00826D4C">
      <w:pPr>
        <w:ind w:firstLine="720"/>
        <w:jc w:val="both"/>
        <w:outlineLvl w:val="0"/>
        <w:rPr>
          <w:rFonts w:cs="Arial"/>
          <w:color w:val="000000" w:themeColor="text1"/>
          <w:position w:val="1"/>
        </w:rPr>
      </w:pPr>
    </w:p>
    <w:p w14:paraId="6B3F7DD4" w14:textId="12AFCEAE" w:rsidR="000C40D7" w:rsidRPr="00707A47" w:rsidRDefault="000C40D7" w:rsidP="00826D4C">
      <w:pPr>
        <w:spacing w:line="480" w:lineRule="auto"/>
        <w:ind w:firstLine="720"/>
        <w:jc w:val="both"/>
        <w:outlineLvl w:val="0"/>
        <w:rPr>
          <w:rFonts w:cs="Arial"/>
          <w:color w:val="000000" w:themeColor="text1"/>
        </w:rPr>
      </w:pPr>
      <w:r w:rsidRPr="00707A47">
        <w:rPr>
          <w:rFonts w:cs="Arial"/>
          <w:color w:val="000000" w:themeColor="text1"/>
          <w:position w:val="1"/>
        </w:rPr>
        <w:t xml:space="preserve">I </w:t>
      </w:r>
      <w:r w:rsidRPr="00707A47">
        <w:rPr>
          <w:rFonts w:cs="Arial"/>
          <w:color w:val="000000" w:themeColor="text1"/>
        </w:rPr>
        <w:t>hereby</w:t>
      </w:r>
      <w:r w:rsidRPr="00707A47">
        <w:rPr>
          <w:rFonts w:cs="Arial"/>
          <w:color w:val="000000" w:themeColor="text1"/>
          <w:spacing w:val="-8"/>
        </w:rPr>
        <w:t xml:space="preserve"> </w:t>
      </w:r>
      <w:r w:rsidRPr="00707A47">
        <w:rPr>
          <w:rFonts w:cs="Arial"/>
          <w:color w:val="000000" w:themeColor="text1"/>
        </w:rPr>
        <w:t>certify</w:t>
      </w:r>
      <w:r w:rsidRPr="00707A47">
        <w:rPr>
          <w:rFonts w:cs="Arial"/>
          <w:color w:val="000000" w:themeColor="text1"/>
          <w:spacing w:val="-8"/>
        </w:rPr>
        <w:t xml:space="preserve"> </w:t>
      </w:r>
      <w:r w:rsidRPr="00707A47">
        <w:rPr>
          <w:rFonts w:cs="Arial"/>
          <w:color w:val="000000" w:themeColor="text1"/>
        </w:rPr>
        <w:t>that</w:t>
      </w:r>
      <w:r w:rsidR="00A61AA6" w:rsidRPr="00707A47">
        <w:rPr>
          <w:rFonts w:cs="Arial"/>
          <w:color w:val="000000" w:themeColor="text1"/>
        </w:rPr>
        <w:t xml:space="preserve">, discounting captions, headings, signatures, quotations </w:t>
      </w:r>
      <w:r w:rsidR="002D4A01" w:rsidRPr="00707A47">
        <w:rPr>
          <w:rFonts w:cs="Arial"/>
          <w:color w:val="000000" w:themeColor="text1"/>
        </w:rPr>
        <w:t>from</w:t>
      </w:r>
      <w:r w:rsidR="00A61AA6" w:rsidRPr="00707A47">
        <w:rPr>
          <w:rFonts w:cs="Arial"/>
          <w:color w:val="000000" w:themeColor="text1"/>
        </w:rPr>
        <w:t xml:space="preserve"> authority and recitation of the opposing party’s own text, </w:t>
      </w:r>
      <w:r w:rsidRPr="00707A47">
        <w:rPr>
          <w:rFonts w:cs="Arial"/>
          <w:color w:val="000000" w:themeColor="text1"/>
        </w:rPr>
        <w:t>this</w:t>
      </w:r>
      <w:r w:rsidRPr="00707A47">
        <w:rPr>
          <w:rFonts w:cs="Arial"/>
          <w:color w:val="000000" w:themeColor="text1"/>
          <w:spacing w:val="-8"/>
        </w:rPr>
        <w:t xml:space="preserve"> </w:t>
      </w:r>
      <w:r w:rsidRPr="00707A47">
        <w:rPr>
          <w:rFonts w:cs="Arial"/>
          <w:color w:val="000000" w:themeColor="text1"/>
        </w:rPr>
        <w:t>document</w:t>
      </w:r>
      <w:r w:rsidRPr="00707A47">
        <w:rPr>
          <w:rFonts w:cs="Arial"/>
          <w:color w:val="000000" w:themeColor="text1"/>
          <w:spacing w:val="-8"/>
        </w:rPr>
        <w:t xml:space="preserve"> </w:t>
      </w:r>
      <w:r w:rsidRPr="00707A47">
        <w:rPr>
          <w:rFonts w:cs="Arial"/>
          <w:color w:val="000000" w:themeColor="text1"/>
        </w:rPr>
        <w:t>complies</w:t>
      </w:r>
      <w:r w:rsidRPr="00707A47">
        <w:rPr>
          <w:rFonts w:cs="Arial"/>
          <w:color w:val="000000" w:themeColor="text1"/>
          <w:spacing w:val="-8"/>
        </w:rPr>
        <w:t xml:space="preserve"> </w:t>
      </w:r>
      <w:r w:rsidRPr="00707A47">
        <w:rPr>
          <w:rFonts w:cs="Arial"/>
          <w:color w:val="000000" w:themeColor="text1"/>
        </w:rPr>
        <w:t>with</w:t>
      </w:r>
      <w:r w:rsidRPr="00707A47">
        <w:rPr>
          <w:rFonts w:cs="Arial"/>
          <w:color w:val="000000" w:themeColor="text1"/>
          <w:spacing w:val="-6"/>
        </w:rPr>
        <w:t xml:space="preserve"> </w:t>
      </w:r>
      <w:r w:rsidRPr="00707A47">
        <w:rPr>
          <w:rFonts w:cs="Arial"/>
          <w:color w:val="000000" w:themeColor="text1"/>
        </w:rPr>
        <w:t>the</w:t>
      </w:r>
      <w:r w:rsidRPr="00707A47">
        <w:rPr>
          <w:rFonts w:cs="Arial"/>
          <w:color w:val="000000" w:themeColor="text1"/>
          <w:spacing w:val="-5"/>
        </w:rPr>
        <w:t xml:space="preserve"> </w:t>
      </w:r>
      <w:r w:rsidRPr="00707A47">
        <w:rPr>
          <w:rFonts w:cs="Arial"/>
          <w:color w:val="000000" w:themeColor="text1"/>
        </w:rPr>
        <w:t>page</w:t>
      </w:r>
      <w:r w:rsidRPr="00707A47">
        <w:rPr>
          <w:rFonts w:cs="Arial"/>
          <w:color w:val="000000" w:themeColor="text1"/>
          <w:spacing w:val="-3"/>
        </w:rPr>
        <w:t xml:space="preserve"> </w:t>
      </w:r>
      <w:r w:rsidRPr="00707A47">
        <w:rPr>
          <w:rFonts w:cs="Arial"/>
          <w:color w:val="000000" w:themeColor="text1"/>
        </w:rPr>
        <w:t>and</w:t>
      </w:r>
      <w:r w:rsidRPr="00707A47">
        <w:rPr>
          <w:rFonts w:cs="Arial"/>
          <w:color w:val="000000" w:themeColor="text1"/>
          <w:spacing w:val="-7"/>
        </w:rPr>
        <w:t xml:space="preserve"> </w:t>
      </w:r>
      <w:r w:rsidRPr="00707A47">
        <w:rPr>
          <w:rFonts w:cs="Arial"/>
          <w:color w:val="000000" w:themeColor="text1"/>
        </w:rPr>
        <w:t>word</w:t>
      </w:r>
      <w:r w:rsidRPr="00707A47">
        <w:rPr>
          <w:rFonts w:cs="Arial"/>
          <w:color w:val="000000" w:themeColor="text1"/>
          <w:spacing w:val="-3"/>
        </w:rPr>
        <w:t xml:space="preserve"> </w:t>
      </w:r>
      <w:r w:rsidRPr="00707A47">
        <w:rPr>
          <w:rFonts w:cs="Arial"/>
          <w:color w:val="000000" w:themeColor="text1"/>
        </w:rPr>
        <w:t xml:space="preserve">limitations set forth in Rule 6-1(e) and that on </w:t>
      </w:r>
      <w:r w:rsidR="000F78EF">
        <w:rPr>
          <w:rFonts w:cs="Arial"/>
          <w:b/>
          <w:bCs/>
          <w:color w:val="000000" w:themeColor="text1"/>
        </w:rPr>
        <w:t xml:space="preserve">February </w:t>
      </w:r>
      <w:r w:rsidR="004114C6">
        <w:rPr>
          <w:rFonts w:cs="Arial"/>
          <w:b/>
          <w:bCs/>
          <w:color w:val="000000" w:themeColor="text1"/>
        </w:rPr>
        <w:t>6</w:t>
      </w:r>
      <w:r w:rsidR="000F78EF">
        <w:rPr>
          <w:rFonts w:cs="Arial"/>
          <w:b/>
          <w:bCs/>
          <w:color w:val="000000" w:themeColor="text1"/>
        </w:rPr>
        <w:t>, 2023</w:t>
      </w:r>
      <w:r w:rsidRPr="00707A47">
        <w:rPr>
          <w:rFonts w:cs="Arial"/>
          <w:color w:val="000000" w:themeColor="text1"/>
        </w:rPr>
        <w:t xml:space="preserve"> I served a copy of the foregoing by </w:t>
      </w:r>
      <w:r w:rsidR="0004301D" w:rsidRPr="00707A47">
        <w:rPr>
          <w:rFonts w:cs="Arial"/>
          <w:color w:val="000000" w:themeColor="text1"/>
        </w:rPr>
        <w:t xml:space="preserve">email and </w:t>
      </w:r>
      <w:r w:rsidRPr="00707A47">
        <w:rPr>
          <w:rFonts w:cs="Arial"/>
          <w:color w:val="000000" w:themeColor="text1"/>
        </w:rPr>
        <w:t>the Court’s E-File system, as agreed by the parties</w:t>
      </w:r>
      <w:r w:rsidR="0004301D" w:rsidRPr="00707A47">
        <w:rPr>
          <w:rFonts w:cs="Arial"/>
          <w:color w:val="000000" w:themeColor="text1"/>
        </w:rPr>
        <w:t>, to:</w:t>
      </w:r>
    </w:p>
    <w:p w14:paraId="257A9643" w14:textId="77777777" w:rsidR="00165F72" w:rsidRPr="00707A47" w:rsidRDefault="00165F72" w:rsidP="00826D4C">
      <w:pPr>
        <w:jc w:val="both"/>
        <w:outlineLvl w:val="0"/>
        <w:rPr>
          <w:rFonts w:cs="Arial"/>
          <w:w w:val="105"/>
        </w:rPr>
      </w:pPr>
      <w:r w:rsidRPr="00707A47">
        <w:rPr>
          <w:rFonts w:cs="Arial"/>
          <w:b/>
          <w:bCs/>
          <w:w w:val="105"/>
        </w:rPr>
        <w:t xml:space="preserve">James Hymes </w:t>
      </w:r>
      <w:r w:rsidRPr="00707A47">
        <w:rPr>
          <w:rFonts w:cs="Arial"/>
          <w:b/>
          <w:w w:val="105"/>
        </w:rPr>
        <w:t>III</w:t>
      </w:r>
      <w:r w:rsidRPr="00707A47">
        <w:rPr>
          <w:rFonts w:cs="Arial"/>
          <w:w w:val="105"/>
        </w:rPr>
        <w:t xml:space="preserve">, </w:t>
      </w:r>
      <w:r w:rsidRPr="00707A47">
        <w:rPr>
          <w:rFonts w:cs="Arial"/>
          <w:b/>
          <w:w w:val="105"/>
        </w:rPr>
        <w:t>Esq.</w:t>
      </w:r>
    </w:p>
    <w:p w14:paraId="6AE348DA" w14:textId="4CA8EB5A" w:rsidR="00165F72" w:rsidRPr="00707A47" w:rsidRDefault="00165F72" w:rsidP="00826D4C">
      <w:pPr>
        <w:kinsoku w:val="0"/>
        <w:overflowPunct w:val="0"/>
        <w:adjustRightInd w:val="0"/>
        <w:jc w:val="both"/>
        <w:outlineLvl w:val="0"/>
        <w:rPr>
          <w:rFonts w:cs="Arial"/>
          <w:i/>
          <w:iCs/>
          <w:w w:val="105"/>
        </w:rPr>
      </w:pPr>
      <w:r w:rsidRPr="00707A47">
        <w:rPr>
          <w:rFonts w:cs="Arial"/>
          <w:i/>
          <w:iCs/>
          <w:w w:val="105"/>
        </w:rPr>
        <w:t xml:space="preserve">Counsel for </w:t>
      </w:r>
      <w:r w:rsidR="000C40D7" w:rsidRPr="00707A47">
        <w:rPr>
          <w:rFonts w:cs="Arial"/>
          <w:i/>
          <w:iCs/>
          <w:w w:val="105"/>
        </w:rPr>
        <w:t xml:space="preserve">Defendants </w:t>
      </w:r>
      <w:r w:rsidRPr="00707A47">
        <w:rPr>
          <w:rFonts w:cs="Arial"/>
          <w:i/>
          <w:iCs/>
          <w:w w:val="105"/>
        </w:rPr>
        <w:t>Isam and Jamil Yous</w:t>
      </w:r>
      <w:r w:rsidR="00033207" w:rsidRPr="00707A47">
        <w:rPr>
          <w:rFonts w:cs="Arial"/>
          <w:i/>
          <w:iCs/>
          <w:w w:val="105"/>
        </w:rPr>
        <w:t>u</w:t>
      </w:r>
      <w:r w:rsidRPr="00707A47">
        <w:rPr>
          <w:rFonts w:cs="Arial"/>
          <w:i/>
          <w:iCs/>
          <w:w w:val="105"/>
        </w:rPr>
        <w:t>f</w:t>
      </w:r>
    </w:p>
    <w:p w14:paraId="56A9DE1F" w14:textId="77777777" w:rsidR="00033207" w:rsidRPr="00707A47" w:rsidRDefault="00165F72" w:rsidP="00826D4C">
      <w:pPr>
        <w:adjustRightInd w:val="0"/>
        <w:jc w:val="both"/>
        <w:outlineLvl w:val="0"/>
        <w:rPr>
          <w:rFonts w:cs="Arial"/>
        </w:rPr>
      </w:pPr>
      <w:r w:rsidRPr="00707A47">
        <w:rPr>
          <w:rFonts w:cs="Arial"/>
        </w:rPr>
        <w:t xml:space="preserve">LAW OFFICES OF JAMES L. </w:t>
      </w:r>
    </w:p>
    <w:p w14:paraId="2C6EBC19" w14:textId="3222BE57" w:rsidR="00165F72" w:rsidRPr="00707A47" w:rsidRDefault="003065FE" w:rsidP="00826D4C">
      <w:pPr>
        <w:adjustRightInd w:val="0"/>
        <w:jc w:val="both"/>
        <w:outlineLvl w:val="0"/>
        <w:rPr>
          <w:rFonts w:cs="Arial"/>
        </w:rPr>
      </w:pPr>
      <w:r w:rsidRPr="00707A47">
        <w:rPr>
          <w:rFonts w:cs="Arial"/>
        </w:rPr>
        <w:t xml:space="preserve">  </w:t>
      </w:r>
      <w:r w:rsidR="00165F72" w:rsidRPr="00707A47">
        <w:rPr>
          <w:rFonts w:cs="Arial"/>
        </w:rPr>
        <w:t>HYMES, III, P.C.</w:t>
      </w:r>
    </w:p>
    <w:p w14:paraId="2F32C9F3" w14:textId="77777777" w:rsidR="00165F72" w:rsidRPr="00707A47" w:rsidRDefault="00165F72" w:rsidP="00826D4C">
      <w:pPr>
        <w:adjustRightInd w:val="0"/>
        <w:jc w:val="both"/>
        <w:outlineLvl w:val="0"/>
        <w:rPr>
          <w:rFonts w:cs="Arial"/>
        </w:rPr>
      </w:pPr>
      <w:r w:rsidRPr="00707A47">
        <w:rPr>
          <w:rFonts w:cs="Arial"/>
        </w:rPr>
        <w:t>P.O. Box 990</w:t>
      </w:r>
    </w:p>
    <w:p w14:paraId="4A7A31F7" w14:textId="77777777" w:rsidR="00165F72" w:rsidRPr="00707A47" w:rsidRDefault="00165F72" w:rsidP="00826D4C">
      <w:pPr>
        <w:adjustRightInd w:val="0"/>
        <w:jc w:val="both"/>
        <w:outlineLvl w:val="0"/>
        <w:rPr>
          <w:rFonts w:cs="Arial"/>
        </w:rPr>
      </w:pPr>
      <w:r w:rsidRPr="00707A47">
        <w:rPr>
          <w:rFonts w:cs="Arial"/>
        </w:rPr>
        <w:t>St. Thomas, VI 00804-0990</w:t>
      </w:r>
    </w:p>
    <w:p w14:paraId="4CDB9D88" w14:textId="77777777" w:rsidR="00165F72" w:rsidRPr="00707A47" w:rsidRDefault="00165F72" w:rsidP="00826D4C">
      <w:pPr>
        <w:adjustRightInd w:val="0"/>
        <w:jc w:val="both"/>
        <w:outlineLvl w:val="0"/>
        <w:rPr>
          <w:rFonts w:cs="Arial"/>
        </w:rPr>
      </w:pPr>
      <w:r w:rsidRPr="00707A47">
        <w:rPr>
          <w:rFonts w:cs="Arial"/>
        </w:rPr>
        <w:t>Tel: (340) 776-3470</w:t>
      </w:r>
    </w:p>
    <w:p w14:paraId="20374B37" w14:textId="77777777" w:rsidR="00165F72" w:rsidRPr="00707A47" w:rsidRDefault="00165F72" w:rsidP="00826D4C">
      <w:pPr>
        <w:adjustRightInd w:val="0"/>
        <w:jc w:val="both"/>
        <w:outlineLvl w:val="0"/>
        <w:rPr>
          <w:rFonts w:cs="Arial"/>
        </w:rPr>
      </w:pPr>
      <w:r w:rsidRPr="00707A47">
        <w:rPr>
          <w:rFonts w:cs="Arial"/>
        </w:rPr>
        <w:t>Fax: (340) 775-3300</w:t>
      </w:r>
    </w:p>
    <w:p w14:paraId="044D4A89" w14:textId="1C819605" w:rsidR="00165F72" w:rsidRPr="00707A47" w:rsidRDefault="00B370E9" w:rsidP="00826D4C">
      <w:pPr>
        <w:jc w:val="both"/>
        <w:outlineLvl w:val="0"/>
        <w:rPr>
          <w:rFonts w:cs="Arial"/>
          <w:lang w:val="fr-FR"/>
        </w:rPr>
      </w:pPr>
      <w:r w:rsidRPr="00707A47">
        <w:rPr>
          <w:rFonts w:cs="Arial"/>
          <w:lang w:val="fr-FR"/>
        </w:rPr>
        <w:t>jim@hymeslawvi.com</w:t>
      </w:r>
    </w:p>
    <w:p w14:paraId="24311D2C" w14:textId="0759B949" w:rsidR="00165F72" w:rsidRPr="00707A47" w:rsidRDefault="00165F72" w:rsidP="00826D4C">
      <w:pPr>
        <w:kinsoku w:val="0"/>
        <w:overflowPunct w:val="0"/>
        <w:adjustRightInd w:val="0"/>
        <w:jc w:val="both"/>
        <w:outlineLvl w:val="0"/>
        <w:rPr>
          <w:rFonts w:cs="Arial"/>
          <w:color w:val="313131"/>
          <w:w w:val="105"/>
        </w:rPr>
      </w:pPr>
    </w:p>
    <w:p w14:paraId="21B69C73" w14:textId="37507F94" w:rsidR="00165F72" w:rsidRPr="00707A47" w:rsidRDefault="00165F72" w:rsidP="00826D4C">
      <w:pPr>
        <w:kinsoku w:val="0"/>
        <w:overflowPunct w:val="0"/>
        <w:adjustRightInd w:val="0"/>
        <w:jc w:val="both"/>
        <w:outlineLvl w:val="0"/>
        <w:rPr>
          <w:rFonts w:cs="Arial"/>
          <w:b/>
          <w:w w:val="105"/>
        </w:rPr>
      </w:pPr>
      <w:r w:rsidRPr="00707A47">
        <w:rPr>
          <w:rFonts w:cs="Arial"/>
          <w:b/>
          <w:w w:val="105"/>
        </w:rPr>
        <w:t xml:space="preserve">Charlotte </w:t>
      </w:r>
      <w:r w:rsidR="008B717C" w:rsidRPr="00707A47">
        <w:rPr>
          <w:rFonts w:cs="Arial"/>
          <w:b/>
          <w:w w:val="105"/>
        </w:rPr>
        <w:t xml:space="preserve">K. </w:t>
      </w:r>
      <w:r w:rsidRPr="00707A47">
        <w:rPr>
          <w:rFonts w:cs="Arial"/>
          <w:b/>
          <w:w w:val="105"/>
        </w:rPr>
        <w:t>Perrell, Esq.</w:t>
      </w:r>
    </w:p>
    <w:p w14:paraId="759CB5A0" w14:textId="5D4F54CE" w:rsidR="00165F72" w:rsidRPr="00707A47" w:rsidRDefault="00165F72" w:rsidP="00826D4C">
      <w:pPr>
        <w:kinsoku w:val="0"/>
        <w:overflowPunct w:val="0"/>
        <w:adjustRightInd w:val="0"/>
        <w:jc w:val="both"/>
        <w:outlineLvl w:val="0"/>
        <w:rPr>
          <w:rFonts w:cs="Arial"/>
          <w:b/>
          <w:w w:val="105"/>
        </w:rPr>
      </w:pPr>
      <w:r w:rsidRPr="00707A47">
        <w:rPr>
          <w:rFonts w:cs="Arial"/>
          <w:b/>
          <w:w w:val="105"/>
        </w:rPr>
        <w:t xml:space="preserve">Stefan </w:t>
      </w:r>
      <w:r w:rsidR="008B717C" w:rsidRPr="00707A47">
        <w:rPr>
          <w:rFonts w:cs="Arial"/>
          <w:b/>
          <w:w w:val="105"/>
        </w:rPr>
        <w:t xml:space="preserve">B. </w:t>
      </w:r>
      <w:r w:rsidRPr="00707A47">
        <w:rPr>
          <w:rFonts w:cs="Arial"/>
          <w:b/>
          <w:w w:val="105"/>
        </w:rPr>
        <w:t>Herpel, Esq.</w:t>
      </w:r>
    </w:p>
    <w:p w14:paraId="07BA0993" w14:textId="3474FC88" w:rsidR="00165F72" w:rsidRPr="00707A47" w:rsidRDefault="00DC6A24" w:rsidP="00826D4C">
      <w:pPr>
        <w:kinsoku w:val="0"/>
        <w:overflowPunct w:val="0"/>
        <w:adjustRightInd w:val="0"/>
        <w:jc w:val="both"/>
        <w:outlineLvl w:val="0"/>
        <w:rPr>
          <w:rFonts w:cs="Arial"/>
          <w:i/>
          <w:w w:val="105"/>
        </w:rPr>
      </w:pPr>
      <w:r w:rsidRPr="00707A47">
        <w:rPr>
          <w:rFonts w:cs="Arial"/>
          <w:i/>
          <w:w w:val="105"/>
        </w:rPr>
        <w:t>Counsel</w:t>
      </w:r>
      <w:r w:rsidR="00165F72" w:rsidRPr="00707A47">
        <w:rPr>
          <w:rFonts w:cs="Arial"/>
          <w:i/>
          <w:w w:val="105"/>
        </w:rPr>
        <w:t xml:space="preserve"> for</w:t>
      </w:r>
      <w:r w:rsidR="00033207" w:rsidRPr="00707A47">
        <w:rPr>
          <w:rFonts w:cs="Arial"/>
          <w:i/>
          <w:w w:val="105"/>
        </w:rPr>
        <w:t xml:space="preserve"> Defenda</w:t>
      </w:r>
      <w:r w:rsidRPr="00707A47">
        <w:rPr>
          <w:rFonts w:cs="Arial"/>
          <w:i/>
          <w:w w:val="105"/>
        </w:rPr>
        <w:t>n</w:t>
      </w:r>
      <w:r w:rsidR="00033207" w:rsidRPr="00707A47">
        <w:rPr>
          <w:rFonts w:cs="Arial"/>
          <w:i/>
          <w:w w:val="105"/>
        </w:rPr>
        <w:t>t</w:t>
      </w:r>
      <w:r w:rsidR="00165F72" w:rsidRPr="00707A47">
        <w:rPr>
          <w:rFonts w:cs="Arial"/>
          <w:i/>
          <w:w w:val="105"/>
        </w:rPr>
        <w:t xml:space="preserve"> Fathi Yusuf</w:t>
      </w:r>
    </w:p>
    <w:p w14:paraId="2065DD6A" w14:textId="77777777" w:rsidR="00033207" w:rsidRPr="00707A47" w:rsidRDefault="00165F72" w:rsidP="00826D4C">
      <w:pPr>
        <w:adjustRightInd w:val="0"/>
        <w:jc w:val="both"/>
        <w:outlineLvl w:val="0"/>
        <w:rPr>
          <w:rFonts w:cs="Arial"/>
          <w:color w:val="212121"/>
        </w:rPr>
      </w:pPr>
      <w:r w:rsidRPr="00707A47">
        <w:rPr>
          <w:rFonts w:cs="Arial"/>
          <w:color w:val="212121"/>
        </w:rPr>
        <w:t xml:space="preserve">DUDLEY NEWMAN </w:t>
      </w:r>
    </w:p>
    <w:p w14:paraId="070E12FD" w14:textId="6902809D" w:rsidR="00165F72" w:rsidRPr="00707A47" w:rsidRDefault="003065FE" w:rsidP="00826D4C">
      <w:pPr>
        <w:adjustRightInd w:val="0"/>
        <w:jc w:val="both"/>
        <w:outlineLvl w:val="0"/>
        <w:rPr>
          <w:rFonts w:cs="Arial"/>
          <w:color w:val="212121"/>
        </w:rPr>
      </w:pPr>
      <w:r w:rsidRPr="00707A47">
        <w:rPr>
          <w:rFonts w:cs="Arial"/>
          <w:color w:val="212121"/>
        </w:rPr>
        <w:t xml:space="preserve">  </w:t>
      </w:r>
      <w:r w:rsidR="00165F72" w:rsidRPr="00707A47">
        <w:rPr>
          <w:rFonts w:cs="Arial"/>
          <w:color w:val="212121"/>
        </w:rPr>
        <w:t>FEUERZEIG LLP</w:t>
      </w:r>
    </w:p>
    <w:p w14:paraId="3A0F75F9" w14:textId="77777777" w:rsidR="00033207" w:rsidRPr="00707A47" w:rsidRDefault="00165F72" w:rsidP="00826D4C">
      <w:pPr>
        <w:adjustRightInd w:val="0"/>
        <w:jc w:val="both"/>
        <w:outlineLvl w:val="0"/>
        <w:rPr>
          <w:rFonts w:cs="Arial"/>
          <w:color w:val="212121"/>
        </w:rPr>
      </w:pPr>
      <w:r w:rsidRPr="00707A47">
        <w:rPr>
          <w:rFonts w:cs="Arial"/>
          <w:color w:val="212121"/>
        </w:rPr>
        <w:t xml:space="preserve">Law House </w:t>
      </w:r>
    </w:p>
    <w:p w14:paraId="41FB2B6F" w14:textId="703EF37A" w:rsidR="00165F72" w:rsidRPr="00707A47" w:rsidRDefault="00165F72" w:rsidP="00826D4C">
      <w:pPr>
        <w:adjustRightInd w:val="0"/>
        <w:jc w:val="both"/>
        <w:outlineLvl w:val="0"/>
        <w:rPr>
          <w:rFonts w:cs="Arial"/>
          <w:color w:val="212121"/>
        </w:rPr>
      </w:pPr>
      <w:r w:rsidRPr="00707A47">
        <w:rPr>
          <w:rFonts w:cs="Arial"/>
          <w:color w:val="212121"/>
        </w:rPr>
        <w:t>1000 Frederiksberg Gade</w:t>
      </w:r>
    </w:p>
    <w:p w14:paraId="5BBE0BA7" w14:textId="77777777" w:rsidR="00165F72" w:rsidRPr="00707A47" w:rsidRDefault="00165F72" w:rsidP="00826D4C">
      <w:pPr>
        <w:adjustRightInd w:val="0"/>
        <w:jc w:val="both"/>
        <w:outlineLvl w:val="0"/>
        <w:rPr>
          <w:rFonts w:cs="Arial"/>
          <w:color w:val="212121"/>
        </w:rPr>
      </w:pPr>
      <w:r w:rsidRPr="00707A47">
        <w:rPr>
          <w:rFonts w:cs="Arial"/>
          <w:color w:val="212121"/>
        </w:rPr>
        <w:t>P.O. Box 756</w:t>
      </w:r>
    </w:p>
    <w:p w14:paraId="24D1E6B4" w14:textId="77777777" w:rsidR="00165F72" w:rsidRPr="00707A47" w:rsidRDefault="00165F72" w:rsidP="00826D4C">
      <w:pPr>
        <w:adjustRightInd w:val="0"/>
        <w:jc w:val="both"/>
        <w:outlineLvl w:val="0"/>
        <w:rPr>
          <w:rFonts w:cs="Arial"/>
          <w:color w:val="212121"/>
        </w:rPr>
      </w:pPr>
      <w:r w:rsidRPr="00707A47">
        <w:rPr>
          <w:rFonts w:cs="Arial"/>
          <w:color w:val="212121"/>
        </w:rPr>
        <w:t>St. Thomas, VI 00804-0756</w:t>
      </w:r>
    </w:p>
    <w:p w14:paraId="238C437C" w14:textId="77777777" w:rsidR="00165F72" w:rsidRPr="00707A47" w:rsidRDefault="00165F72" w:rsidP="00826D4C">
      <w:pPr>
        <w:adjustRightInd w:val="0"/>
        <w:jc w:val="both"/>
        <w:outlineLvl w:val="0"/>
        <w:rPr>
          <w:rFonts w:cs="Arial"/>
        </w:rPr>
      </w:pPr>
      <w:r w:rsidRPr="00707A47">
        <w:rPr>
          <w:rFonts w:cs="Arial"/>
        </w:rPr>
        <w:t>Tel: (340) 774-4422</w:t>
      </w:r>
    </w:p>
    <w:p w14:paraId="646C438E" w14:textId="051B3892" w:rsidR="000C40D7" w:rsidRPr="00707A47" w:rsidRDefault="000C40D7" w:rsidP="00826D4C">
      <w:pPr>
        <w:adjustRightInd w:val="0"/>
        <w:jc w:val="both"/>
        <w:outlineLvl w:val="0"/>
        <w:rPr>
          <w:rFonts w:cs="Arial"/>
        </w:rPr>
      </w:pPr>
      <w:r w:rsidRPr="00707A47">
        <w:rPr>
          <w:rFonts w:cs="Arial"/>
        </w:rPr>
        <w:t>cperrell@dnfvi.com</w:t>
      </w:r>
      <w:r w:rsidR="00165F72" w:rsidRPr="00707A47">
        <w:rPr>
          <w:rFonts w:cs="Arial"/>
        </w:rPr>
        <w:t xml:space="preserve">, </w:t>
      </w:r>
    </w:p>
    <w:p w14:paraId="7E506289" w14:textId="7C87684D" w:rsidR="008B717C" w:rsidRPr="00707A47" w:rsidRDefault="00DC6A24" w:rsidP="00826D4C">
      <w:pPr>
        <w:adjustRightInd w:val="0"/>
        <w:jc w:val="both"/>
        <w:outlineLvl w:val="0"/>
        <w:rPr>
          <w:rFonts w:cs="Arial"/>
        </w:rPr>
      </w:pPr>
      <w:r w:rsidRPr="00707A47">
        <w:rPr>
          <w:rFonts w:cs="Arial"/>
        </w:rPr>
        <w:t>sherpel@dnfvi.com</w:t>
      </w:r>
    </w:p>
    <w:p w14:paraId="0A8CB47F" w14:textId="7B415433" w:rsidR="00DC6A24" w:rsidRPr="00707A47" w:rsidRDefault="00DC6A24" w:rsidP="00826D4C">
      <w:pPr>
        <w:adjustRightInd w:val="0"/>
        <w:jc w:val="both"/>
        <w:outlineLvl w:val="0"/>
        <w:rPr>
          <w:rFonts w:cs="Arial"/>
        </w:rPr>
      </w:pPr>
    </w:p>
    <w:p w14:paraId="0EE3467C" w14:textId="77777777" w:rsidR="00DC6A24" w:rsidRPr="00707A47" w:rsidRDefault="00DC6A24" w:rsidP="00826D4C">
      <w:pPr>
        <w:adjustRightInd w:val="0"/>
        <w:jc w:val="both"/>
        <w:outlineLvl w:val="0"/>
        <w:rPr>
          <w:rFonts w:eastAsiaTheme="minorHAnsi" w:cs="Arial"/>
          <w:b/>
          <w:bCs/>
        </w:rPr>
      </w:pPr>
      <w:r w:rsidRPr="00707A47">
        <w:rPr>
          <w:rFonts w:eastAsiaTheme="minorHAnsi" w:cs="Arial"/>
          <w:b/>
          <w:bCs/>
        </w:rPr>
        <w:t xml:space="preserve">Kevin A. Rames, Esq. </w:t>
      </w:r>
    </w:p>
    <w:p w14:paraId="5202C52F" w14:textId="77777777" w:rsidR="00DC6A24" w:rsidRPr="00707A47" w:rsidRDefault="00DC6A24" w:rsidP="00826D4C">
      <w:pPr>
        <w:adjustRightInd w:val="0"/>
        <w:jc w:val="both"/>
        <w:outlineLvl w:val="0"/>
        <w:rPr>
          <w:rFonts w:eastAsiaTheme="minorHAnsi" w:cs="Arial"/>
          <w:i/>
          <w:iCs/>
        </w:rPr>
      </w:pPr>
      <w:r w:rsidRPr="00707A47">
        <w:rPr>
          <w:rFonts w:eastAsiaTheme="minorHAnsi" w:cs="Arial"/>
          <w:i/>
          <w:iCs/>
        </w:rPr>
        <w:t xml:space="preserve">Counsel for Nominal Defendant </w:t>
      </w:r>
    </w:p>
    <w:p w14:paraId="72342378" w14:textId="7A5F9169" w:rsidR="00DC6A24" w:rsidRPr="00707A47" w:rsidRDefault="003065FE" w:rsidP="00826D4C">
      <w:pPr>
        <w:adjustRightInd w:val="0"/>
        <w:jc w:val="both"/>
        <w:outlineLvl w:val="0"/>
        <w:rPr>
          <w:rFonts w:cs="Arial"/>
          <w:i/>
          <w:iCs/>
        </w:rPr>
      </w:pPr>
      <w:r w:rsidRPr="00707A47">
        <w:rPr>
          <w:rFonts w:eastAsiaTheme="minorHAnsi" w:cs="Arial"/>
          <w:i/>
          <w:iCs/>
        </w:rPr>
        <w:t xml:space="preserve">  </w:t>
      </w:r>
      <w:r w:rsidR="00DC6A24" w:rsidRPr="00707A47">
        <w:rPr>
          <w:rFonts w:eastAsiaTheme="minorHAnsi" w:cs="Arial"/>
          <w:i/>
          <w:iCs/>
        </w:rPr>
        <w:t xml:space="preserve"> Sixteen Plus Corporation</w:t>
      </w:r>
    </w:p>
    <w:p w14:paraId="554198B8" w14:textId="114CEF52" w:rsidR="00DC6A24" w:rsidRPr="00707A47" w:rsidRDefault="00DC6A24" w:rsidP="00826D4C">
      <w:pPr>
        <w:autoSpaceDE w:val="0"/>
        <w:autoSpaceDN w:val="0"/>
        <w:adjustRightInd w:val="0"/>
        <w:jc w:val="both"/>
        <w:outlineLvl w:val="0"/>
        <w:rPr>
          <w:rFonts w:eastAsiaTheme="minorHAnsi" w:cs="Arial"/>
        </w:rPr>
      </w:pPr>
      <w:r w:rsidRPr="00707A47">
        <w:rPr>
          <w:rFonts w:eastAsiaTheme="minorHAnsi" w:cs="Arial"/>
        </w:rPr>
        <w:t>2111 Company Street, Suite 3</w:t>
      </w:r>
    </w:p>
    <w:p w14:paraId="508CBADC" w14:textId="77777777" w:rsidR="00DC6A24" w:rsidRPr="00707A47" w:rsidRDefault="00DC6A24" w:rsidP="00826D4C">
      <w:pPr>
        <w:autoSpaceDE w:val="0"/>
        <w:autoSpaceDN w:val="0"/>
        <w:adjustRightInd w:val="0"/>
        <w:jc w:val="both"/>
        <w:outlineLvl w:val="0"/>
        <w:rPr>
          <w:rFonts w:eastAsiaTheme="minorHAnsi" w:cs="Arial"/>
        </w:rPr>
      </w:pPr>
      <w:r w:rsidRPr="00707A47">
        <w:rPr>
          <w:rFonts w:eastAsiaTheme="minorHAnsi" w:cs="Arial"/>
        </w:rPr>
        <w:t>Christiansted, VI 00820</w:t>
      </w:r>
    </w:p>
    <w:p w14:paraId="41E978F7" w14:textId="7CBE0560" w:rsidR="00DC6A24" w:rsidRPr="00707A47" w:rsidRDefault="00DC6A24" w:rsidP="00826D4C">
      <w:pPr>
        <w:autoSpaceDE w:val="0"/>
        <w:autoSpaceDN w:val="0"/>
        <w:adjustRightInd w:val="0"/>
        <w:jc w:val="both"/>
        <w:outlineLvl w:val="0"/>
        <w:rPr>
          <w:rFonts w:eastAsiaTheme="minorHAnsi" w:cs="Arial"/>
        </w:rPr>
      </w:pPr>
      <w:r w:rsidRPr="00707A47">
        <w:rPr>
          <w:rFonts w:eastAsiaTheme="minorHAnsi" w:cs="Arial"/>
        </w:rPr>
        <w:t>Phone: (340) 773-7284</w:t>
      </w:r>
    </w:p>
    <w:p w14:paraId="34D27CEA" w14:textId="71B94F40" w:rsidR="00DC6A24" w:rsidRPr="00707A47" w:rsidRDefault="00DC6A24" w:rsidP="00826D4C">
      <w:pPr>
        <w:autoSpaceDE w:val="0"/>
        <w:autoSpaceDN w:val="0"/>
        <w:adjustRightInd w:val="0"/>
        <w:jc w:val="both"/>
        <w:outlineLvl w:val="0"/>
        <w:rPr>
          <w:rFonts w:eastAsiaTheme="minorHAnsi" w:cs="Arial"/>
        </w:rPr>
      </w:pPr>
      <w:r w:rsidRPr="00707A47">
        <w:rPr>
          <w:rFonts w:eastAsiaTheme="minorHAnsi" w:cs="Arial"/>
        </w:rPr>
        <w:t>Fax: (340) 773 -7282</w:t>
      </w:r>
    </w:p>
    <w:p w14:paraId="6D224D72" w14:textId="62481186" w:rsidR="000C40D7" w:rsidRPr="00707A47" w:rsidRDefault="000C40D7" w:rsidP="00826D4C">
      <w:pPr>
        <w:autoSpaceDE w:val="0"/>
        <w:autoSpaceDN w:val="0"/>
        <w:adjustRightInd w:val="0"/>
        <w:jc w:val="both"/>
        <w:outlineLvl w:val="0"/>
        <w:rPr>
          <w:rFonts w:eastAsiaTheme="minorHAnsi" w:cs="Arial"/>
        </w:rPr>
      </w:pPr>
      <w:r w:rsidRPr="00707A47">
        <w:rPr>
          <w:rFonts w:eastAsiaTheme="minorHAnsi" w:cs="Arial"/>
        </w:rPr>
        <w:t>kevin.rames@rameslaw.com</w:t>
      </w:r>
    </w:p>
    <w:p w14:paraId="507E16F0" w14:textId="6F47C0A5" w:rsidR="00165F72" w:rsidRPr="00707A47" w:rsidRDefault="000C40D7" w:rsidP="00826D4C">
      <w:pPr>
        <w:jc w:val="both"/>
        <w:outlineLvl w:val="0"/>
        <w:rPr>
          <w:rFonts w:cs="Arial"/>
          <w:u w:val="single"/>
        </w:rPr>
      </w:pP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rPr>
        <w:tab/>
      </w:r>
      <w:r w:rsidRPr="00707A47">
        <w:rPr>
          <w:rFonts w:cs="Arial"/>
          <w:u w:val="single"/>
        </w:rPr>
        <w:t xml:space="preserve">/s/ </w:t>
      </w:r>
      <w:r w:rsidR="0004301D" w:rsidRPr="00707A47">
        <w:rPr>
          <w:rFonts w:cs="Arial"/>
          <w:u w:val="single"/>
        </w:rPr>
        <w:t>Carl J. Hartmann</w:t>
      </w:r>
      <w:r w:rsidRPr="00707A47">
        <w:rPr>
          <w:rFonts w:cs="Arial"/>
          <w:u w:val="single"/>
        </w:rPr>
        <w:tab/>
      </w:r>
      <w:r w:rsidRPr="00707A47">
        <w:rPr>
          <w:rFonts w:cs="Arial"/>
          <w:u w:val="single"/>
        </w:rPr>
        <w:tab/>
      </w:r>
    </w:p>
    <w:p w14:paraId="2EB65BCD" w14:textId="77777777" w:rsidR="007B04CA" w:rsidRPr="00707A47" w:rsidRDefault="007B04CA" w:rsidP="00826D4C">
      <w:pPr>
        <w:jc w:val="both"/>
        <w:outlineLvl w:val="0"/>
        <w:rPr>
          <w:rFonts w:cs="Arial"/>
          <w:u w:val="single"/>
        </w:rPr>
      </w:pPr>
    </w:p>
    <w:sectPr w:rsidR="007B04CA" w:rsidRPr="00707A47" w:rsidSect="009D07B0">
      <w:headerReference w:type="default" r:id="rId8"/>
      <w:footerReference w:type="even" r:id="rId9"/>
      <w:headerReference w:type="first" r:id="rId10"/>
      <w:pgSz w:w="12240" w:h="15840" w:code="1"/>
      <w:pgMar w:top="864" w:right="1152"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7A04" w14:textId="77777777" w:rsidR="009C219E" w:rsidRDefault="009C219E" w:rsidP="00165F72">
      <w:r>
        <w:separator/>
      </w:r>
    </w:p>
  </w:endnote>
  <w:endnote w:type="continuationSeparator" w:id="0">
    <w:p w14:paraId="090BBDDE" w14:textId="77777777" w:rsidR="009C219E" w:rsidRDefault="009C219E" w:rsidP="0016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rlHartmann">
    <w:panose1 w:val="02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7177419"/>
      <w:docPartObj>
        <w:docPartGallery w:val="Page Numbers (Bottom of Page)"/>
        <w:docPartUnique/>
      </w:docPartObj>
    </w:sdtPr>
    <w:sdtContent>
      <w:p w14:paraId="1EBF64C5" w14:textId="4F83BC29" w:rsidR="00165F72" w:rsidRDefault="00165F72" w:rsidP="003117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A3E93" w14:textId="77777777" w:rsidR="00165F72" w:rsidRDefault="0016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03E1" w14:textId="77777777" w:rsidR="009C219E" w:rsidRDefault="009C219E" w:rsidP="00165F72">
      <w:r>
        <w:separator/>
      </w:r>
    </w:p>
  </w:footnote>
  <w:footnote w:type="continuationSeparator" w:id="0">
    <w:p w14:paraId="2B973C60" w14:textId="77777777" w:rsidR="009C219E" w:rsidRDefault="009C219E" w:rsidP="00165F72">
      <w:r>
        <w:continuationSeparator/>
      </w:r>
    </w:p>
  </w:footnote>
  <w:footnote w:id="1">
    <w:p w14:paraId="5A55313C" w14:textId="47F948FC" w:rsidR="00C45455" w:rsidRPr="007E07FF" w:rsidRDefault="00C45455" w:rsidP="00C45455">
      <w:pPr>
        <w:pStyle w:val="FootnoteText"/>
        <w:jc w:val="both"/>
        <w:outlineLvl w:val="0"/>
        <w:rPr>
          <w:rFonts w:ascii="Arial" w:hAnsi="Arial" w:cs="Arial"/>
          <w:sz w:val="24"/>
          <w:szCs w:val="24"/>
        </w:rPr>
      </w:pPr>
      <w:r w:rsidRPr="007E07FF">
        <w:rPr>
          <w:rStyle w:val="FootnoteReference"/>
          <w:rFonts w:ascii="Arial" w:hAnsi="Arial" w:cs="Arial"/>
          <w:sz w:val="24"/>
          <w:szCs w:val="24"/>
        </w:rPr>
        <w:footnoteRef/>
      </w:r>
      <w:r w:rsidRPr="007E07FF">
        <w:rPr>
          <w:rFonts w:ascii="Arial" w:hAnsi="Arial" w:cs="Arial"/>
          <w:sz w:val="24"/>
          <w:szCs w:val="24"/>
        </w:rPr>
        <w:t xml:space="preserve"> </w:t>
      </w:r>
      <w:r w:rsidR="009D07B0" w:rsidRPr="009D07B0">
        <w:rPr>
          <w:rFonts w:ascii="Arial" w:hAnsi="Arial" w:cs="Arial"/>
          <w:i/>
          <w:iCs/>
          <w:sz w:val="24"/>
          <w:szCs w:val="24"/>
        </w:rPr>
        <w:t xml:space="preserve">See </w:t>
      </w:r>
      <w:r w:rsidRPr="007E07FF">
        <w:rPr>
          <w:rFonts w:ascii="Arial" w:hAnsi="Arial" w:cs="Arial"/>
          <w:sz w:val="24"/>
          <w:szCs w:val="24"/>
        </w:rPr>
        <w:t>74 V.I. 525</w:t>
      </w:r>
      <w:r w:rsidR="003D3913" w:rsidRPr="007E07FF">
        <w:rPr>
          <w:rFonts w:ascii="Arial" w:hAnsi="Arial" w:cs="Arial"/>
          <w:sz w:val="24"/>
          <w:szCs w:val="24"/>
        </w:rPr>
        <w:t xml:space="preserve"> </w:t>
      </w:r>
      <w:r w:rsidRPr="007E07FF">
        <w:rPr>
          <w:rFonts w:ascii="Arial" w:hAnsi="Arial" w:cs="Arial"/>
          <w:sz w:val="24"/>
          <w:szCs w:val="24"/>
        </w:rPr>
        <w:t>(2021)</w:t>
      </w:r>
      <w:r w:rsidR="003D3913" w:rsidRPr="007E07FF">
        <w:rPr>
          <w:rFonts w:ascii="Arial" w:hAnsi="Arial" w:cs="Arial"/>
          <w:sz w:val="24"/>
          <w:szCs w:val="24"/>
        </w:rPr>
        <w:t>.</w:t>
      </w:r>
    </w:p>
  </w:footnote>
  <w:footnote w:id="2">
    <w:p w14:paraId="2DBA82C3" w14:textId="0C2ACDE9" w:rsidR="00774A14" w:rsidRDefault="00774A14" w:rsidP="001645A3">
      <w:pPr>
        <w:pStyle w:val="FootnoteText"/>
        <w:jc w:val="both"/>
        <w:outlineLvl w:val="0"/>
        <w:rPr>
          <w:rFonts w:ascii="Arial" w:hAnsi="Arial" w:cs="Arial"/>
          <w:sz w:val="24"/>
        </w:rPr>
      </w:pPr>
      <w:r w:rsidRPr="001645A3">
        <w:rPr>
          <w:rStyle w:val="FootnoteReference"/>
          <w:rFonts w:ascii="Arial" w:hAnsi="Arial" w:cs="Arial"/>
          <w:sz w:val="24"/>
        </w:rPr>
        <w:footnoteRef/>
      </w:r>
      <w:r w:rsidRPr="001645A3">
        <w:rPr>
          <w:rFonts w:ascii="Arial" w:hAnsi="Arial" w:cs="Arial"/>
          <w:sz w:val="24"/>
        </w:rPr>
        <w:t xml:space="preserve"> Again, the fact that she </w:t>
      </w:r>
      <w:r w:rsidR="00BA3449">
        <w:rPr>
          <w:rFonts w:ascii="Arial" w:hAnsi="Arial" w:cs="Arial"/>
          <w:sz w:val="24"/>
        </w:rPr>
        <w:t xml:space="preserve">joined </w:t>
      </w:r>
      <w:r w:rsidR="003833E1">
        <w:rPr>
          <w:rFonts w:ascii="Arial" w:hAnsi="Arial" w:cs="Arial"/>
          <w:sz w:val="24"/>
        </w:rPr>
        <w:t xml:space="preserve">with </w:t>
      </w:r>
      <w:r w:rsidR="00BA3449">
        <w:rPr>
          <w:rFonts w:ascii="Arial" w:hAnsi="Arial" w:cs="Arial"/>
          <w:sz w:val="24"/>
        </w:rPr>
        <w:t xml:space="preserve">others in the </w:t>
      </w:r>
      <w:r w:rsidR="003833E1">
        <w:rPr>
          <w:rFonts w:ascii="Arial" w:hAnsi="Arial" w:cs="Arial"/>
          <w:sz w:val="24"/>
        </w:rPr>
        <w:t xml:space="preserve">new </w:t>
      </w:r>
      <w:r w:rsidR="00BA3449">
        <w:rPr>
          <w:rFonts w:ascii="Arial" w:hAnsi="Arial" w:cs="Arial"/>
          <w:sz w:val="24"/>
        </w:rPr>
        <w:t xml:space="preserve">use of </w:t>
      </w:r>
      <w:r w:rsidRPr="001645A3">
        <w:rPr>
          <w:rFonts w:ascii="Arial" w:hAnsi="Arial" w:cs="Arial"/>
          <w:sz w:val="24"/>
        </w:rPr>
        <w:t xml:space="preserve">the documents </w:t>
      </w:r>
      <w:r w:rsidR="00BA3449">
        <w:rPr>
          <w:rFonts w:ascii="Arial" w:hAnsi="Arial" w:cs="Arial"/>
          <w:sz w:val="24"/>
        </w:rPr>
        <w:t xml:space="preserve">and </w:t>
      </w:r>
      <w:r w:rsidRPr="001645A3">
        <w:rPr>
          <w:rFonts w:ascii="Arial" w:hAnsi="Arial" w:cs="Arial"/>
          <w:sz w:val="24"/>
        </w:rPr>
        <w:t xml:space="preserve">that they recite false statements </w:t>
      </w:r>
      <w:r w:rsidR="001645A3" w:rsidRPr="001645A3">
        <w:rPr>
          <w:rFonts w:ascii="Arial" w:hAnsi="Arial" w:cs="Arial"/>
          <w:sz w:val="24"/>
        </w:rPr>
        <w:t xml:space="preserve">is the critical point, not that she was one of the creators—or that she gained this knowledge </w:t>
      </w:r>
      <w:r w:rsidR="003833E1">
        <w:rPr>
          <w:rFonts w:ascii="Arial" w:hAnsi="Arial" w:cs="Arial"/>
          <w:sz w:val="24"/>
        </w:rPr>
        <w:t xml:space="preserve">she is using now </w:t>
      </w:r>
      <w:r w:rsidR="001645A3" w:rsidRPr="001645A3">
        <w:rPr>
          <w:rFonts w:ascii="Arial" w:hAnsi="Arial" w:cs="Arial"/>
          <w:sz w:val="24"/>
        </w:rPr>
        <w:t>in 1997. There is no statute of limitations on the source of knowledge or items being used to press false claims in the present.</w:t>
      </w:r>
    </w:p>
    <w:p w14:paraId="6165298A" w14:textId="77777777" w:rsidR="001645A3" w:rsidRPr="001645A3" w:rsidRDefault="001645A3" w:rsidP="001645A3">
      <w:pPr>
        <w:pStyle w:val="FootnoteText"/>
        <w:jc w:val="both"/>
        <w:outlineLvl w:val="0"/>
        <w:rPr>
          <w:rFonts w:ascii="Arial" w:hAnsi="Arial" w:cs="Arial"/>
          <w:sz w:val="24"/>
        </w:rPr>
      </w:pPr>
    </w:p>
  </w:footnote>
  <w:footnote w:id="3">
    <w:p w14:paraId="08FAEDFE" w14:textId="25E1D5EF" w:rsidR="00000BF6" w:rsidRDefault="00000BF6" w:rsidP="00000BF6">
      <w:pPr>
        <w:pStyle w:val="FootnoteText"/>
        <w:jc w:val="both"/>
        <w:outlineLvl w:val="0"/>
        <w:rPr>
          <w:rFonts w:ascii="Arial" w:hAnsi="Arial" w:cs="Arial"/>
          <w:sz w:val="24"/>
        </w:rPr>
      </w:pPr>
      <w:r>
        <w:rPr>
          <w:rStyle w:val="FootnoteReference"/>
        </w:rPr>
        <w:footnoteRef/>
      </w:r>
      <w:r>
        <w:t xml:space="preserve"> </w:t>
      </w:r>
      <w:r w:rsidRPr="00000BF6">
        <w:rPr>
          <w:rFonts w:ascii="Arial" w:hAnsi="Arial" w:cs="Arial"/>
          <w:sz w:val="24"/>
        </w:rPr>
        <w:t xml:space="preserve">Nor is the concept of litigation being one of the acts in </w:t>
      </w:r>
      <w:r w:rsidR="001259BB">
        <w:rPr>
          <w:rFonts w:ascii="Arial" w:hAnsi="Arial" w:cs="Arial"/>
          <w:sz w:val="24"/>
        </w:rPr>
        <w:t>a</w:t>
      </w:r>
      <w:r w:rsidRPr="00000BF6">
        <w:rPr>
          <w:rFonts w:ascii="Arial" w:hAnsi="Arial" w:cs="Arial"/>
          <w:sz w:val="24"/>
        </w:rPr>
        <w:t xml:space="preserve"> CICO conspiracy a </w:t>
      </w:r>
      <w:r w:rsidR="00227B69">
        <w:rPr>
          <w:rFonts w:ascii="Arial" w:hAnsi="Arial" w:cs="Arial"/>
          <w:sz w:val="24"/>
        </w:rPr>
        <w:t>novel</w:t>
      </w:r>
      <w:r w:rsidRPr="00000BF6">
        <w:rPr>
          <w:rFonts w:ascii="Arial" w:hAnsi="Arial" w:cs="Arial"/>
          <w:sz w:val="24"/>
        </w:rPr>
        <w:t xml:space="preserve"> one</w:t>
      </w:r>
      <w:r w:rsidR="00227B69">
        <w:rPr>
          <w:rFonts w:ascii="Arial" w:hAnsi="Arial" w:cs="Arial"/>
          <w:sz w:val="24"/>
        </w:rPr>
        <w:t>, even in this</w:t>
      </w:r>
      <w:r w:rsidRPr="00000BF6">
        <w:rPr>
          <w:rFonts w:ascii="Arial" w:hAnsi="Arial" w:cs="Arial"/>
          <w:sz w:val="24"/>
        </w:rPr>
        <w:t xml:space="preserve"> case. One of the primary, original act</w:t>
      </w:r>
      <w:r>
        <w:rPr>
          <w:rFonts w:ascii="Arial" w:hAnsi="Arial" w:cs="Arial"/>
          <w:sz w:val="24"/>
        </w:rPr>
        <w:t>s</w:t>
      </w:r>
      <w:r w:rsidRPr="00000BF6">
        <w:rPr>
          <w:rFonts w:ascii="Arial" w:hAnsi="Arial" w:cs="Arial"/>
          <w:sz w:val="24"/>
        </w:rPr>
        <w:t xml:space="preserve"> in furtherance of the conspiracy</w:t>
      </w:r>
      <w:r>
        <w:rPr>
          <w:rFonts w:ascii="Arial" w:hAnsi="Arial" w:cs="Arial"/>
          <w:sz w:val="24"/>
        </w:rPr>
        <w:t>,</w:t>
      </w:r>
      <w:r w:rsidRPr="00000BF6">
        <w:rPr>
          <w:rFonts w:ascii="Arial" w:hAnsi="Arial" w:cs="Arial"/>
          <w:sz w:val="24"/>
        </w:rPr>
        <w:t xml:space="preserve"> alleged in the December 23, 2016 FAC</w:t>
      </w:r>
      <w:r>
        <w:rPr>
          <w:rFonts w:ascii="Arial" w:hAnsi="Arial" w:cs="Arial"/>
          <w:sz w:val="24"/>
        </w:rPr>
        <w:t>,</w:t>
      </w:r>
      <w:r w:rsidRPr="00000BF6">
        <w:rPr>
          <w:rFonts w:ascii="Arial" w:hAnsi="Arial" w:cs="Arial"/>
          <w:sz w:val="24"/>
        </w:rPr>
        <w:t xml:space="preserve"> was</w:t>
      </w:r>
      <w:r w:rsidR="00AD452A">
        <w:rPr>
          <w:rFonts w:ascii="Arial" w:hAnsi="Arial" w:cs="Arial"/>
          <w:sz w:val="24"/>
        </w:rPr>
        <w:t xml:space="preserve"> </w:t>
      </w:r>
      <w:r w:rsidR="00282A95">
        <w:rPr>
          <w:rFonts w:ascii="Arial" w:hAnsi="Arial" w:cs="Arial"/>
          <w:sz w:val="24"/>
        </w:rPr>
        <w:t>Fathi</w:t>
      </w:r>
      <w:r>
        <w:rPr>
          <w:rFonts w:ascii="Arial" w:hAnsi="Arial" w:cs="Arial"/>
          <w:sz w:val="24"/>
        </w:rPr>
        <w:t xml:space="preserve">’s </w:t>
      </w:r>
      <w:r w:rsidRPr="00000BF6">
        <w:rPr>
          <w:rFonts w:ascii="Arial" w:hAnsi="Arial" w:cs="Arial"/>
          <w:sz w:val="24"/>
        </w:rPr>
        <w:t xml:space="preserve">bringing of </w:t>
      </w:r>
      <w:r>
        <w:rPr>
          <w:rFonts w:ascii="Arial" w:hAnsi="Arial" w:cs="Arial"/>
          <w:sz w:val="24"/>
        </w:rPr>
        <w:t xml:space="preserve">the </w:t>
      </w:r>
      <w:r w:rsidRPr="00000BF6">
        <w:rPr>
          <w:rFonts w:ascii="Arial" w:hAnsi="Arial" w:cs="Arial"/>
          <w:sz w:val="24"/>
        </w:rPr>
        <w:t>2015 litigation to terminate Sixteen Plus and trigger the foreclosure--with Manal’s participation.</w:t>
      </w:r>
      <w:r w:rsidRPr="00000BF6">
        <w:rPr>
          <w:rStyle w:val="FootnoteReference"/>
          <w:rFonts w:ascii="Arial" w:hAnsi="Arial" w:cs="Arial"/>
          <w:sz w:val="24"/>
        </w:rPr>
        <w:t xml:space="preserve"> </w:t>
      </w:r>
      <w:r w:rsidRPr="00000BF6">
        <w:rPr>
          <w:rFonts w:ascii="Arial" w:hAnsi="Arial" w:cs="Arial"/>
          <w:sz w:val="24"/>
        </w:rPr>
        <w:t>On July 27, 2015, Fathi Yusuf filed ST-2015-CV-000344, an action against “Sixteen Plus Corporation….Mohammad A. Hamed, Waleed M. Hamed, Waheed M. Hamed, Mufeed M. Hamed, and Hisham M. Hamed”. That action sought:</w:t>
      </w:r>
      <w:r w:rsidRPr="000E5495">
        <w:rPr>
          <w:rFonts w:ascii="Arial" w:hAnsi="Arial" w:cs="Arial"/>
          <w:sz w:val="24"/>
        </w:rPr>
        <w:t xml:space="preserve"> </w:t>
      </w:r>
    </w:p>
    <w:p w14:paraId="1D88D5EF" w14:textId="77777777" w:rsidR="00000BF6" w:rsidRPr="000E5495" w:rsidRDefault="00000BF6" w:rsidP="00000BF6">
      <w:pPr>
        <w:pStyle w:val="FootnoteText"/>
        <w:rPr>
          <w:rFonts w:ascii="Arial" w:hAnsi="Arial" w:cs="Arial"/>
          <w:sz w:val="12"/>
          <w:szCs w:val="12"/>
        </w:rPr>
      </w:pPr>
    </w:p>
    <w:p w14:paraId="2583EF31" w14:textId="0855946B" w:rsidR="00000BF6" w:rsidRDefault="00000BF6" w:rsidP="00000BF6">
      <w:pPr>
        <w:pStyle w:val="FootnoteText"/>
        <w:ind w:left="720" w:right="720"/>
        <w:jc w:val="both"/>
        <w:outlineLvl w:val="0"/>
        <w:rPr>
          <w:rFonts w:ascii="Arial" w:hAnsi="Arial" w:cs="Arial"/>
          <w:sz w:val="24"/>
        </w:rPr>
      </w:pPr>
      <w:r w:rsidRPr="000E5495">
        <w:rPr>
          <w:rFonts w:ascii="Arial" w:hAnsi="Arial" w:cs="Arial"/>
          <w:sz w:val="24"/>
        </w:rPr>
        <w:t xml:space="preserve">3. An order dissolving…Sixteen Plus and directing the windup of the corporation[]; [and] </w:t>
      </w:r>
    </w:p>
    <w:p w14:paraId="562B7961" w14:textId="77777777" w:rsidR="00227B69" w:rsidRPr="00227B69" w:rsidRDefault="00227B69" w:rsidP="00000BF6">
      <w:pPr>
        <w:pStyle w:val="FootnoteText"/>
        <w:ind w:left="720" w:right="720"/>
        <w:jc w:val="both"/>
        <w:outlineLvl w:val="0"/>
        <w:rPr>
          <w:rFonts w:ascii="Arial" w:hAnsi="Arial" w:cs="Arial"/>
          <w:sz w:val="8"/>
          <w:szCs w:val="8"/>
        </w:rPr>
      </w:pPr>
    </w:p>
    <w:p w14:paraId="517BFB93" w14:textId="7B7C1C05" w:rsidR="00000BF6" w:rsidRDefault="00000BF6" w:rsidP="00000BF6">
      <w:pPr>
        <w:pStyle w:val="FootnoteText"/>
        <w:ind w:left="720" w:right="720"/>
        <w:jc w:val="both"/>
        <w:outlineLvl w:val="0"/>
        <w:rPr>
          <w:rFonts w:ascii="Arial" w:hAnsi="Arial" w:cs="Arial"/>
          <w:sz w:val="24"/>
        </w:rPr>
      </w:pPr>
      <w:r w:rsidRPr="000E5495">
        <w:rPr>
          <w:rFonts w:ascii="Arial" w:hAnsi="Arial" w:cs="Arial"/>
          <w:sz w:val="24"/>
        </w:rPr>
        <w:t>4. An order appointing a receiver for…Sixteen Plus to sell the real estate holdings of both corporations. . .</w:t>
      </w:r>
      <w:r w:rsidR="00630C57">
        <w:rPr>
          <w:rFonts w:ascii="Arial" w:hAnsi="Arial" w:cs="Arial"/>
          <w:sz w:val="24"/>
        </w:rPr>
        <w:t xml:space="preserve"> .”</w:t>
      </w:r>
    </w:p>
    <w:p w14:paraId="4FF526C1" w14:textId="77777777" w:rsidR="00630C57" w:rsidRPr="000E5495" w:rsidRDefault="00630C57" w:rsidP="00000BF6">
      <w:pPr>
        <w:pStyle w:val="FootnoteText"/>
        <w:ind w:left="720" w:right="720"/>
        <w:jc w:val="both"/>
        <w:outlineLvl w:val="0"/>
        <w:rPr>
          <w:rFonts w:ascii="Arial" w:hAnsi="Arial" w:cs="Arial"/>
          <w:sz w:val="24"/>
        </w:rPr>
      </w:pPr>
    </w:p>
  </w:footnote>
  <w:footnote w:id="4">
    <w:p w14:paraId="55672561" w14:textId="1BF670BB" w:rsidR="00826D4C" w:rsidRDefault="00826D4C">
      <w:pPr>
        <w:pStyle w:val="FootnoteText"/>
        <w:rPr>
          <w:rStyle w:val="ssrfcsection"/>
          <w:rFonts w:ascii="Arial" w:hAnsi="Arial" w:cs="Arial"/>
          <w:color w:val="000000"/>
          <w:sz w:val="24"/>
          <w:szCs w:val="24"/>
          <w:bdr w:val="none" w:sz="0" w:space="0" w:color="auto" w:frame="1"/>
        </w:rPr>
      </w:pPr>
      <w:r w:rsidRPr="007E07FF">
        <w:rPr>
          <w:rStyle w:val="FootnoteReference"/>
          <w:rFonts w:ascii="Arial" w:hAnsi="Arial" w:cs="Arial"/>
          <w:sz w:val="24"/>
          <w:szCs w:val="24"/>
        </w:rPr>
        <w:footnoteRef/>
      </w:r>
      <w:r w:rsidRPr="007E07FF">
        <w:rPr>
          <w:rFonts w:ascii="Arial" w:hAnsi="Arial" w:cs="Arial"/>
          <w:sz w:val="24"/>
          <w:szCs w:val="24"/>
        </w:rPr>
        <w:t xml:space="preserve"> </w:t>
      </w:r>
      <w:r w:rsidRPr="007E07FF">
        <w:rPr>
          <w:rStyle w:val="ssit"/>
          <w:rFonts w:ascii="Arial" w:hAnsi="Arial" w:cs="Arial"/>
          <w:i/>
          <w:iCs/>
          <w:color w:val="000000"/>
          <w:sz w:val="24"/>
          <w:szCs w:val="24"/>
          <w:bdr w:val="none" w:sz="0" w:space="0" w:color="auto" w:frame="1"/>
        </w:rPr>
        <w:t>In Microsoft Corp. v. Damphu’s, Inc.</w:t>
      </w:r>
      <w:r w:rsidRPr="007E07FF">
        <w:rPr>
          <w:rStyle w:val="ssrfcsection"/>
          <w:rFonts w:ascii="Arial" w:hAnsi="Arial" w:cs="Arial"/>
          <w:color w:val="000000"/>
          <w:sz w:val="24"/>
          <w:szCs w:val="24"/>
          <w:bdr w:val="none" w:sz="0" w:space="0" w:color="auto" w:frame="1"/>
        </w:rPr>
        <w:t xml:space="preserve"> it was held that the conspiracy remains ongoing throughout the pendency of th</w:t>
      </w:r>
      <w:r w:rsidR="00B161D7">
        <w:rPr>
          <w:rStyle w:val="ssrfcsection"/>
          <w:rFonts w:ascii="Arial" w:hAnsi="Arial" w:cs="Arial"/>
          <w:color w:val="000000"/>
          <w:sz w:val="24"/>
          <w:szCs w:val="24"/>
          <w:bdr w:val="none" w:sz="0" w:space="0" w:color="auto" w:frame="1"/>
        </w:rPr>
        <w:t>e</w:t>
      </w:r>
      <w:r w:rsidRPr="007E07FF">
        <w:rPr>
          <w:rStyle w:val="ssrfcsection"/>
          <w:rFonts w:ascii="Arial" w:hAnsi="Arial" w:cs="Arial"/>
          <w:color w:val="000000"/>
          <w:sz w:val="24"/>
          <w:szCs w:val="24"/>
          <w:bdr w:val="none" w:sz="0" w:space="0" w:color="auto" w:frame="1"/>
        </w:rPr>
        <w:t xml:space="preserve"> lawsuit. C.A. No. 8092-VCP, 2013 Del. Ch. LEXIS 263, 2013 WL 5899003, at *12 (Del. Ch. Oct. 31, 2013)(“Microsoft alleges that St. Clair commenced its patent infringement </w:t>
      </w:r>
      <w:r w:rsidRPr="007E07FF">
        <w:rPr>
          <w:rStyle w:val="sssh"/>
          <w:rFonts w:ascii="Arial" w:eastAsiaTheme="majorEastAsia" w:hAnsi="Arial" w:cs="Arial"/>
          <w:color w:val="000000"/>
          <w:sz w:val="24"/>
          <w:szCs w:val="24"/>
          <w:bdr w:val="none" w:sz="0" w:space="0" w:color="auto" w:frame="1"/>
        </w:rPr>
        <w:t>suit</w:t>
      </w:r>
      <w:r w:rsidRPr="007E07FF">
        <w:rPr>
          <w:rStyle w:val="ssrfcsection"/>
          <w:rFonts w:ascii="Arial" w:hAnsi="Arial" w:cs="Arial"/>
          <w:color w:val="000000"/>
          <w:sz w:val="24"/>
          <w:szCs w:val="24"/>
          <w:bdr w:val="none" w:sz="0" w:space="0" w:color="auto" w:frame="1"/>
        </w:rPr>
        <w:t xml:space="preserve"> in Delaware in </w:t>
      </w:r>
      <w:r w:rsidRPr="007E07FF">
        <w:rPr>
          <w:rStyle w:val="sssh"/>
          <w:rFonts w:ascii="Arial" w:eastAsiaTheme="majorEastAsia" w:hAnsi="Arial" w:cs="Arial"/>
          <w:color w:val="000000"/>
          <w:sz w:val="24"/>
          <w:szCs w:val="24"/>
          <w:bdr w:val="none" w:sz="0" w:space="0" w:color="auto" w:frame="1"/>
        </w:rPr>
        <w:t>furtherance</w:t>
      </w:r>
      <w:r w:rsidRPr="007E07FF">
        <w:rPr>
          <w:rStyle w:val="ssrfcsection"/>
          <w:rFonts w:ascii="Arial" w:hAnsi="Arial" w:cs="Arial"/>
          <w:color w:val="000000"/>
          <w:sz w:val="24"/>
          <w:szCs w:val="24"/>
          <w:bdr w:val="none" w:sz="0" w:space="0" w:color="auto" w:frame="1"/>
        </w:rPr>
        <w:t xml:space="preserve"> of its </w:t>
      </w:r>
      <w:r w:rsidRPr="007E07FF">
        <w:rPr>
          <w:rStyle w:val="sssh"/>
          <w:rFonts w:ascii="Arial" w:eastAsiaTheme="majorEastAsia" w:hAnsi="Arial" w:cs="Arial"/>
          <w:color w:val="000000"/>
          <w:sz w:val="24"/>
          <w:szCs w:val="24"/>
          <w:bdr w:val="none" w:sz="0" w:space="0" w:color="auto" w:frame="1"/>
        </w:rPr>
        <w:t>conspiracy</w:t>
      </w:r>
      <w:r w:rsidRPr="007E07FF">
        <w:rPr>
          <w:rStyle w:val="ssrfcsection"/>
          <w:rFonts w:ascii="Arial" w:hAnsi="Arial" w:cs="Arial"/>
          <w:color w:val="000000"/>
          <w:sz w:val="24"/>
          <w:szCs w:val="24"/>
          <w:bdr w:val="none" w:sz="0" w:space="0" w:color="auto" w:frame="1"/>
        </w:rPr>
        <w:t>.")</w:t>
      </w:r>
    </w:p>
    <w:p w14:paraId="584F8535" w14:textId="77777777" w:rsidR="007D13FB" w:rsidRPr="007E07FF" w:rsidRDefault="007D13FB">
      <w:pPr>
        <w:pStyle w:val="FootnoteText"/>
        <w:rPr>
          <w:rFonts w:ascii="Arial" w:hAnsi="Arial" w:cs="Arial"/>
          <w:sz w:val="24"/>
          <w:szCs w:val="24"/>
        </w:rPr>
      </w:pPr>
    </w:p>
  </w:footnote>
  <w:footnote w:id="5">
    <w:p w14:paraId="7C18D8AC" w14:textId="47873164" w:rsidR="007D13FB" w:rsidRPr="00227B69" w:rsidRDefault="007D13FB" w:rsidP="00227B69">
      <w:pPr>
        <w:pStyle w:val="NormalWeb"/>
        <w:spacing w:before="0" w:beforeAutospacing="0"/>
        <w:rPr>
          <w:rFonts w:ascii="Arial" w:hAnsi="Arial" w:cs="Arial"/>
          <w:color w:val="000000"/>
        </w:rPr>
      </w:pPr>
      <w:r w:rsidRPr="007D13FB">
        <w:rPr>
          <w:rStyle w:val="FootnoteReference"/>
          <w:rFonts w:ascii="Arial" w:hAnsi="Arial" w:cs="Arial"/>
        </w:rPr>
        <w:footnoteRef/>
      </w:r>
      <w:r w:rsidRPr="007D13FB">
        <w:rPr>
          <w:rFonts w:ascii="Arial" w:hAnsi="Arial" w:cs="Arial"/>
        </w:rPr>
        <w:t xml:space="preserve"> </w:t>
      </w:r>
      <w:r>
        <w:rPr>
          <w:rFonts w:ascii="Arial" w:hAnsi="Arial" w:cs="Arial"/>
          <w:color w:val="000000"/>
        </w:rPr>
        <w:t>U</w:t>
      </w:r>
      <w:r w:rsidRPr="007D13FB">
        <w:rPr>
          <w:rFonts w:ascii="Arial" w:hAnsi="Arial" w:cs="Arial"/>
          <w:color w:val="000000"/>
        </w:rPr>
        <w:t xml:space="preserve">nder the well-pleaded-complaint rule, the plaintiff is ‘the master of the complaint’. </w:t>
      </w:r>
      <w:r w:rsidRPr="007D13FB">
        <w:rPr>
          <w:rFonts w:ascii="Arial" w:hAnsi="Arial" w:cs="Arial"/>
          <w:i/>
          <w:iCs/>
          <w:color w:val="000000"/>
        </w:rPr>
        <w:t>Home Depot U.S.A., Inc. v. Jackson</w:t>
      </w:r>
      <w:r w:rsidRPr="007D13FB">
        <w:rPr>
          <w:rFonts w:ascii="Arial" w:hAnsi="Arial" w:cs="Arial"/>
          <w:color w:val="000000"/>
        </w:rPr>
        <w:t xml:space="preserve">, 139 S. Ct. 1743, 1763 (2019). More importantly “[a]t this stage, Plaintiffs' allegations must be taken as true and they [should] be allowed discovery into” the allegations in the complaint. </w:t>
      </w:r>
      <w:r w:rsidRPr="007D13FB">
        <w:rPr>
          <w:rFonts w:ascii="Arial" w:hAnsi="Arial" w:cs="Arial"/>
          <w:i/>
          <w:iCs/>
          <w:color w:val="000000"/>
        </w:rPr>
        <w:t>See, e.g., Hogan v. Cleveland Ave Rest., Inc.</w:t>
      </w:r>
      <w:r w:rsidRPr="007D13FB">
        <w:rPr>
          <w:rFonts w:ascii="Arial" w:hAnsi="Arial" w:cs="Arial"/>
          <w:color w:val="000000"/>
        </w:rPr>
        <w:t>, No. 2:15-CV-2883, 2018 U.S. Dist. LEXIS 49587, at *10-11 (S.D. Ohio Mar. 26, 2018)</w:t>
      </w:r>
      <w:r>
        <w:rPr>
          <w:rFonts w:ascii="Arial" w:hAnsi="Arial" w:cs="Arial"/>
          <w:color w:val="000000"/>
        </w:rPr>
        <w:t>.</w:t>
      </w:r>
    </w:p>
  </w:footnote>
  <w:footnote w:id="6">
    <w:p w14:paraId="6B35DE3E" w14:textId="77777777" w:rsidR="002F0F33" w:rsidRPr="007E07FF" w:rsidRDefault="002F0F33" w:rsidP="002F0F33">
      <w:pPr>
        <w:spacing w:line="480" w:lineRule="auto"/>
        <w:jc w:val="both"/>
        <w:outlineLvl w:val="0"/>
        <w:rPr>
          <w:rFonts w:cs="Arial"/>
        </w:rPr>
      </w:pPr>
      <w:r>
        <w:rPr>
          <w:rStyle w:val="FootnoteReference"/>
        </w:rPr>
        <w:footnoteRef/>
      </w:r>
      <w:r>
        <w:t xml:space="preserve"> </w:t>
      </w:r>
      <w:r w:rsidRPr="007E07FF">
        <w:rPr>
          <w:rFonts w:cs="Arial"/>
        </w:rPr>
        <w:t>Just to be clear, Hamed alleges that:</w:t>
      </w:r>
    </w:p>
    <w:p w14:paraId="0C9BCE1D" w14:textId="7CA18BB0" w:rsidR="002F0F33" w:rsidRPr="007E07FF" w:rsidRDefault="002F0F33" w:rsidP="002F0F33">
      <w:pPr>
        <w:pStyle w:val="ListParagraph"/>
        <w:numPr>
          <w:ilvl w:val="0"/>
          <w:numId w:val="39"/>
        </w:numPr>
        <w:spacing w:after="0" w:line="240" w:lineRule="auto"/>
        <w:ind w:left="720" w:right="720" w:firstLine="0"/>
        <w:jc w:val="both"/>
        <w:outlineLvl w:val="0"/>
        <w:rPr>
          <w:rFonts w:ascii="Arial" w:hAnsi="Arial" w:cs="Arial"/>
          <w:sz w:val="24"/>
          <w:szCs w:val="24"/>
        </w:rPr>
      </w:pPr>
      <w:r w:rsidRPr="007E07FF">
        <w:rPr>
          <w:rFonts w:ascii="Arial" w:hAnsi="Arial" w:cs="Arial"/>
          <w:sz w:val="24"/>
          <w:szCs w:val="24"/>
        </w:rPr>
        <w:t xml:space="preserve">There exists what Hamed alleges to be a sham note and mortgage—it is immaterial that </w:t>
      </w:r>
      <w:r w:rsidR="00282A95">
        <w:rPr>
          <w:rFonts w:ascii="Arial" w:hAnsi="Arial" w:cs="Arial"/>
          <w:sz w:val="24"/>
          <w:szCs w:val="24"/>
        </w:rPr>
        <w:t>Fathi</w:t>
      </w:r>
      <w:r w:rsidRPr="007E07FF">
        <w:rPr>
          <w:rFonts w:ascii="Arial" w:hAnsi="Arial" w:cs="Arial"/>
          <w:sz w:val="24"/>
          <w:szCs w:val="24"/>
        </w:rPr>
        <w:t xml:space="preserve"> and Manal were also the creators or that the creation </w:t>
      </w:r>
      <w:r w:rsidR="00790D8B">
        <w:rPr>
          <w:rFonts w:ascii="Arial" w:hAnsi="Arial" w:cs="Arial"/>
          <w:sz w:val="24"/>
          <w:szCs w:val="24"/>
        </w:rPr>
        <w:t>dates were</w:t>
      </w:r>
      <w:r w:rsidRPr="007E07FF">
        <w:rPr>
          <w:rFonts w:ascii="Arial" w:hAnsi="Arial" w:cs="Arial"/>
          <w:sz w:val="24"/>
          <w:szCs w:val="24"/>
        </w:rPr>
        <w:t xml:space="preserve"> prior to 2012. What </w:t>
      </w:r>
      <w:r w:rsidRPr="007E07FF">
        <w:rPr>
          <w:rFonts w:ascii="Arial" w:hAnsi="Arial" w:cs="Arial"/>
          <w:i/>
          <w:iCs/>
          <w:sz w:val="24"/>
          <w:szCs w:val="24"/>
          <w:u w:val="single"/>
        </w:rPr>
        <w:t>is</w:t>
      </w:r>
      <w:r w:rsidRPr="007E07FF">
        <w:rPr>
          <w:rFonts w:ascii="Arial" w:hAnsi="Arial" w:cs="Arial"/>
          <w:sz w:val="24"/>
          <w:szCs w:val="24"/>
        </w:rPr>
        <w:t xml:space="preserve"> critical is that they have a note and mortgage for which </w:t>
      </w:r>
      <w:r w:rsidR="00790D8B">
        <w:rPr>
          <w:rFonts w:ascii="Arial" w:hAnsi="Arial" w:cs="Arial"/>
          <w:sz w:val="24"/>
          <w:szCs w:val="24"/>
        </w:rPr>
        <w:t xml:space="preserve">Hamed </w:t>
      </w:r>
      <w:r w:rsidRPr="007E07FF">
        <w:rPr>
          <w:rFonts w:ascii="Arial" w:hAnsi="Arial" w:cs="Arial"/>
          <w:sz w:val="24"/>
          <w:szCs w:val="24"/>
        </w:rPr>
        <w:t>allege</w:t>
      </w:r>
      <w:r w:rsidR="00790D8B">
        <w:rPr>
          <w:rFonts w:ascii="Arial" w:hAnsi="Arial" w:cs="Arial"/>
          <w:sz w:val="24"/>
          <w:szCs w:val="24"/>
        </w:rPr>
        <w:t>s</w:t>
      </w:r>
      <w:r w:rsidRPr="007E07FF">
        <w:rPr>
          <w:rFonts w:ascii="Arial" w:hAnsi="Arial" w:cs="Arial"/>
          <w:sz w:val="24"/>
          <w:szCs w:val="24"/>
        </w:rPr>
        <w:t xml:space="preserve"> they KNOW there was no actual consideration--and that they are part of a joint effort to obtain the underlying property. (It is also not material, at this stage, whether Hamed is correct—that it is a sham mortgage, or that </w:t>
      </w:r>
      <w:r w:rsidR="00282A95">
        <w:rPr>
          <w:rFonts w:ascii="Arial" w:hAnsi="Arial" w:cs="Arial"/>
          <w:sz w:val="24"/>
          <w:szCs w:val="24"/>
        </w:rPr>
        <w:t>Fathi</w:t>
      </w:r>
      <w:r w:rsidRPr="007E07FF">
        <w:rPr>
          <w:rFonts w:ascii="Arial" w:hAnsi="Arial" w:cs="Arial"/>
          <w:sz w:val="24"/>
          <w:szCs w:val="24"/>
        </w:rPr>
        <w:t xml:space="preserve"> and Manal know this.  This is notice pleading. All that is important is that Hamed has </w:t>
      </w:r>
      <w:r w:rsidR="00790D8B">
        <w:rPr>
          <w:rFonts w:ascii="Arial" w:hAnsi="Arial" w:cs="Arial"/>
          <w:sz w:val="24"/>
          <w:szCs w:val="24"/>
        </w:rPr>
        <w:t xml:space="preserve">reasonably </w:t>
      </w:r>
      <w:r w:rsidRPr="007E07FF">
        <w:rPr>
          <w:rFonts w:ascii="Arial" w:hAnsi="Arial" w:cs="Arial"/>
          <w:sz w:val="24"/>
          <w:szCs w:val="24"/>
        </w:rPr>
        <w:t>alleged this to be so</w:t>
      </w:r>
      <w:r w:rsidR="00790D8B">
        <w:rPr>
          <w:rFonts w:ascii="Arial" w:hAnsi="Arial" w:cs="Arial"/>
          <w:sz w:val="24"/>
          <w:szCs w:val="24"/>
        </w:rPr>
        <w:t xml:space="preserve"> based on many uncontroverted facts</w:t>
      </w:r>
      <w:r w:rsidRPr="007E07FF">
        <w:rPr>
          <w:rFonts w:ascii="Arial" w:hAnsi="Arial" w:cs="Arial"/>
          <w:sz w:val="24"/>
          <w:szCs w:val="24"/>
        </w:rPr>
        <w:t>, and</w:t>
      </w:r>
      <w:r w:rsidR="00790D8B">
        <w:rPr>
          <w:rFonts w:ascii="Arial" w:hAnsi="Arial" w:cs="Arial"/>
          <w:sz w:val="24"/>
          <w:szCs w:val="24"/>
        </w:rPr>
        <w:t>, thus,</w:t>
      </w:r>
      <w:r w:rsidRPr="007E07FF">
        <w:rPr>
          <w:rFonts w:ascii="Arial" w:hAnsi="Arial" w:cs="Arial"/>
          <w:sz w:val="24"/>
          <w:szCs w:val="24"/>
        </w:rPr>
        <w:t xml:space="preserve"> has a reasonable basis for his belief and allegations.)</w:t>
      </w:r>
    </w:p>
    <w:p w14:paraId="503EDD11" w14:textId="25F2645C" w:rsidR="002F0F33" w:rsidRPr="007E07FF" w:rsidRDefault="002F0F33" w:rsidP="002F0F33">
      <w:pPr>
        <w:pStyle w:val="ListParagraph"/>
        <w:numPr>
          <w:ilvl w:val="0"/>
          <w:numId w:val="39"/>
        </w:numPr>
        <w:spacing w:after="0" w:line="240" w:lineRule="auto"/>
        <w:ind w:left="720" w:right="720" w:firstLine="0"/>
        <w:jc w:val="both"/>
        <w:outlineLvl w:val="0"/>
        <w:rPr>
          <w:rFonts w:ascii="Arial" w:hAnsi="Arial" w:cs="Arial"/>
          <w:sz w:val="24"/>
          <w:szCs w:val="24"/>
        </w:rPr>
      </w:pPr>
      <w:r w:rsidRPr="007E07FF">
        <w:rPr>
          <w:rFonts w:ascii="Arial" w:hAnsi="Arial" w:cs="Arial"/>
          <w:sz w:val="24"/>
          <w:szCs w:val="24"/>
        </w:rPr>
        <w:t xml:space="preserve">Using that sham note and mortgage, Manal and </w:t>
      </w:r>
      <w:r w:rsidR="00282A95">
        <w:rPr>
          <w:rFonts w:ascii="Arial" w:hAnsi="Arial" w:cs="Arial"/>
          <w:sz w:val="24"/>
          <w:szCs w:val="24"/>
        </w:rPr>
        <w:t>Fathi</w:t>
      </w:r>
      <w:r w:rsidRPr="007E07FF">
        <w:rPr>
          <w:rFonts w:ascii="Arial" w:hAnsi="Arial" w:cs="Arial"/>
          <w:sz w:val="24"/>
          <w:szCs w:val="24"/>
        </w:rPr>
        <w:t xml:space="preserve"> have acted together with the other defendants, to wrongfully </w:t>
      </w:r>
      <w:r w:rsidR="00790D8B">
        <w:rPr>
          <w:rFonts w:ascii="Arial" w:hAnsi="Arial" w:cs="Arial"/>
          <w:sz w:val="24"/>
          <w:szCs w:val="24"/>
        </w:rPr>
        <w:t xml:space="preserve">bankrupt Sixteen Plus, cause its destruction and thereby obtain </w:t>
      </w:r>
      <w:r w:rsidRPr="007E07FF">
        <w:rPr>
          <w:rFonts w:ascii="Arial" w:hAnsi="Arial" w:cs="Arial"/>
          <w:sz w:val="24"/>
          <w:szCs w:val="24"/>
        </w:rPr>
        <w:t>the land.</w:t>
      </w:r>
    </w:p>
    <w:p w14:paraId="16B3A74D" w14:textId="3F4C22DB" w:rsidR="002F0F33" w:rsidRPr="007E07FF" w:rsidRDefault="002F0F33" w:rsidP="002F0F33">
      <w:pPr>
        <w:pStyle w:val="ListParagraph"/>
        <w:numPr>
          <w:ilvl w:val="0"/>
          <w:numId w:val="39"/>
        </w:numPr>
        <w:spacing w:after="0" w:line="240" w:lineRule="auto"/>
        <w:ind w:left="720" w:right="720" w:firstLine="0"/>
        <w:jc w:val="both"/>
        <w:outlineLvl w:val="0"/>
        <w:rPr>
          <w:rFonts w:ascii="Arial" w:hAnsi="Arial" w:cs="Arial"/>
          <w:sz w:val="24"/>
          <w:szCs w:val="24"/>
        </w:rPr>
      </w:pPr>
      <w:r w:rsidRPr="007E07FF">
        <w:rPr>
          <w:rFonts w:ascii="Arial" w:hAnsi="Arial" w:cs="Arial"/>
          <w:sz w:val="24"/>
          <w:szCs w:val="24"/>
        </w:rPr>
        <w:t xml:space="preserve">To do so, </w:t>
      </w:r>
      <w:r w:rsidR="00282A95">
        <w:rPr>
          <w:rFonts w:ascii="Arial" w:hAnsi="Arial" w:cs="Arial"/>
          <w:sz w:val="24"/>
          <w:szCs w:val="24"/>
        </w:rPr>
        <w:t>Fathi</w:t>
      </w:r>
      <w:r w:rsidRPr="007E07FF">
        <w:rPr>
          <w:rFonts w:ascii="Arial" w:hAnsi="Arial" w:cs="Arial"/>
          <w:sz w:val="24"/>
          <w:szCs w:val="24"/>
        </w:rPr>
        <w:t xml:space="preserve"> filed an action in 201</w:t>
      </w:r>
      <w:r w:rsidR="00790D8B">
        <w:rPr>
          <w:rFonts w:ascii="Arial" w:hAnsi="Arial" w:cs="Arial"/>
          <w:sz w:val="24"/>
          <w:szCs w:val="24"/>
        </w:rPr>
        <w:t>5</w:t>
      </w:r>
      <w:r w:rsidRPr="007E07FF">
        <w:rPr>
          <w:rFonts w:ascii="Arial" w:hAnsi="Arial" w:cs="Arial"/>
          <w:sz w:val="24"/>
          <w:szCs w:val="24"/>
        </w:rPr>
        <w:t xml:space="preserve"> to dissolve Sixteen Plus, and specifically asked </w:t>
      </w:r>
      <w:r w:rsidR="00790D8B">
        <w:rPr>
          <w:rFonts w:ascii="Arial" w:hAnsi="Arial" w:cs="Arial"/>
          <w:sz w:val="24"/>
          <w:szCs w:val="24"/>
        </w:rPr>
        <w:t xml:space="preserve">the corporation be dissolved and </w:t>
      </w:r>
      <w:r w:rsidRPr="007E07FF">
        <w:rPr>
          <w:rFonts w:ascii="Arial" w:hAnsi="Arial" w:cs="Arial"/>
          <w:sz w:val="24"/>
          <w:szCs w:val="24"/>
        </w:rPr>
        <w:t>the mortgage be foreclosed.</w:t>
      </w:r>
    </w:p>
    <w:p w14:paraId="0525EB73" w14:textId="10B138D0" w:rsidR="002F0F33" w:rsidRPr="007E07FF" w:rsidRDefault="002F0F33" w:rsidP="002F0F33">
      <w:pPr>
        <w:pStyle w:val="ListParagraph"/>
        <w:numPr>
          <w:ilvl w:val="0"/>
          <w:numId w:val="39"/>
        </w:numPr>
        <w:spacing w:after="0" w:line="240" w:lineRule="auto"/>
        <w:ind w:left="720" w:right="720" w:firstLine="0"/>
        <w:jc w:val="both"/>
        <w:outlineLvl w:val="0"/>
        <w:rPr>
          <w:rFonts w:ascii="Arial" w:hAnsi="Arial" w:cs="Arial"/>
          <w:sz w:val="24"/>
          <w:szCs w:val="24"/>
        </w:rPr>
      </w:pPr>
      <w:r w:rsidRPr="007E07FF">
        <w:rPr>
          <w:rFonts w:ascii="Arial" w:hAnsi="Arial" w:cs="Arial"/>
          <w:sz w:val="24"/>
          <w:szCs w:val="24"/>
        </w:rPr>
        <w:t xml:space="preserve">Manal filed an action in 2017 to </w:t>
      </w:r>
      <w:r w:rsidR="00D91BF5" w:rsidRPr="007E07FF">
        <w:rPr>
          <w:rFonts w:ascii="Arial" w:hAnsi="Arial" w:cs="Arial"/>
          <w:sz w:val="24"/>
          <w:szCs w:val="24"/>
        </w:rPr>
        <w:t>foreclose and</w:t>
      </w:r>
      <w:r w:rsidRPr="007E07FF">
        <w:rPr>
          <w:rFonts w:ascii="Arial" w:hAnsi="Arial" w:cs="Arial"/>
          <w:sz w:val="24"/>
          <w:szCs w:val="24"/>
        </w:rPr>
        <w:t xml:space="preserve"> obtain a deficiency judgment</w:t>
      </w:r>
      <w:r w:rsidR="00790D8B">
        <w:rPr>
          <w:rFonts w:ascii="Arial" w:hAnsi="Arial" w:cs="Arial"/>
          <w:sz w:val="24"/>
          <w:szCs w:val="24"/>
        </w:rPr>
        <w:t xml:space="preserve"> to the same ends. Manal’s suit continues and is prosecuted regularly.</w:t>
      </w:r>
    </w:p>
    <w:p w14:paraId="1AC65047" w14:textId="0489332D" w:rsidR="002F0F33" w:rsidRPr="007E07FF" w:rsidRDefault="002F0F33" w:rsidP="002F0F33">
      <w:pPr>
        <w:pStyle w:val="ListParagraph"/>
        <w:numPr>
          <w:ilvl w:val="0"/>
          <w:numId w:val="39"/>
        </w:numPr>
        <w:spacing w:after="0" w:line="240" w:lineRule="auto"/>
        <w:ind w:left="720" w:right="720" w:firstLine="0"/>
        <w:jc w:val="both"/>
        <w:outlineLvl w:val="0"/>
        <w:rPr>
          <w:rFonts w:ascii="Arial" w:hAnsi="Arial" w:cs="Arial"/>
          <w:sz w:val="24"/>
          <w:szCs w:val="24"/>
        </w:rPr>
      </w:pPr>
      <w:r w:rsidRPr="007E07FF">
        <w:rPr>
          <w:rFonts w:ascii="Arial" w:hAnsi="Arial" w:cs="Arial"/>
          <w:sz w:val="24"/>
          <w:szCs w:val="24"/>
        </w:rPr>
        <w:t xml:space="preserve">To do so, Manal and </w:t>
      </w:r>
      <w:r w:rsidR="00282A95">
        <w:rPr>
          <w:rFonts w:ascii="Arial" w:hAnsi="Arial" w:cs="Arial"/>
          <w:sz w:val="24"/>
          <w:szCs w:val="24"/>
        </w:rPr>
        <w:t>Fathi</w:t>
      </w:r>
      <w:r w:rsidRPr="007E07FF">
        <w:rPr>
          <w:rFonts w:ascii="Arial" w:hAnsi="Arial" w:cs="Arial"/>
          <w:sz w:val="24"/>
          <w:szCs w:val="24"/>
        </w:rPr>
        <w:t xml:space="preserve"> have made false statements in their complaints in both of those cases, as well in their motions in this </w:t>
      </w:r>
      <w:r w:rsidR="00790D8B">
        <w:rPr>
          <w:rFonts w:ascii="Arial" w:hAnsi="Arial" w:cs="Arial"/>
          <w:sz w:val="24"/>
          <w:szCs w:val="24"/>
        </w:rPr>
        <w:t xml:space="preserve">Manal’s action and this </w:t>
      </w:r>
      <w:r w:rsidRPr="007E07FF">
        <w:rPr>
          <w:rFonts w:ascii="Arial" w:hAnsi="Arial" w:cs="Arial"/>
          <w:sz w:val="24"/>
          <w:szCs w:val="24"/>
        </w:rPr>
        <w:t>case, in furtherance of the conspiracy.</w:t>
      </w:r>
    </w:p>
    <w:p w14:paraId="450281CB" w14:textId="39F578C0" w:rsidR="002F0F33" w:rsidRPr="007E07FF" w:rsidRDefault="002F0F33" w:rsidP="002F0F33">
      <w:pPr>
        <w:pStyle w:val="ListParagraph"/>
        <w:numPr>
          <w:ilvl w:val="0"/>
          <w:numId w:val="39"/>
        </w:numPr>
        <w:spacing w:after="0" w:line="240" w:lineRule="auto"/>
        <w:ind w:left="720" w:right="720" w:firstLine="0"/>
        <w:jc w:val="both"/>
        <w:outlineLvl w:val="0"/>
        <w:rPr>
          <w:rFonts w:ascii="Arial" w:hAnsi="Arial" w:cs="Arial"/>
          <w:sz w:val="24"/>
          <w:szCs w:val="24"/>
        </w:rPr>
      </w:pPr>
      <w:r w:rsidRPr="007E07FF">
        <w:rPr>
          <w:rFonts w:ascii="Arial" w:hAnsi="Arial" w:cs="Arial"/>
          <w:sz w:val="24"/>
          <w:szCs w:val="24"/>
        </w:rPr>
        <w:t xml:space="preserve">To do so, Manal and </w:t>
      </w:r>
      <w:r w:rsidR="00282A95">
        <w:rPr>
          <w:rFonts w:ascii="Arial" w:hAnsi="Arial" w:cs="Arial"/>
          <w:sz w:val="24"/>
          <w:szCs w:val="24"/>
        </w:rPr>
        <w:t>Fathi</w:t>
      </w:r>
      <w:r w:rsidRPr="007E07FF">
        <w:rPr>
          <w:rFonts w:ascii="Arial" w:hAnsi="Arial" w:cs="Arial"/>
          <w:sz w:val="24"/>
          <w:szCs w:val="24"/>
        </w:rPr>
        <w:t xml:space="preserve"> have caused documents containing false and fraudulent assertions to be sent through the mail and over wire to the U.S. Virgin Islands from a foreign jurisdiction, in furtherance of the conspiracy.</w:t>
      </w:r>
    </w:p>
    <w:p w14:paraId="0C3A25F6" w14:textId="681025F8" w:rsidR="002F0F33" w:rsidRPr="007E07FF" w:rsidRDefault="002F0F33" w:rsidP="002F0F33">
      <w:pPr>
        <w:pStyle w:val="ListParagraph"/>
        <w:numPr>
          <w:ilvl w:val="0"/>
          <w:numId w:val="39"/>
        </w:numPr>
        <w:spacing w:after="0" w:line="240" w:lineRule="auto"/>
        <w:ind w:left="720" w:right="720" w:firstLine="0"/>
        <w:jc w:val="both"/>
        <w:outlineLvl w:val="0"/>
        <w:rPr>
          <w:rFonts w:ascii="Arial" w:hAnsi="Arial" w:cs="Arial"/>
          <w:sz w:val="24"/>
          <w:szCs w:val="24"/>
        </w:rPr>
      </w:pPr>
      <w:r w:rsidRPr="007E07FF">
        <w:rPr>
          <w:rFonts w:ascii="Arial" w:hAnsi="Arial" w:cs="Arial"/>
          <w:sz w:val="24"/>
          <w:szCs w:val="24"/>
        </w:rPr>
        <w:t xml:space="preserve">To do so, Manal and </w:t>
      </w:r>
      <w:r w:rsidR="00282A95">
        <w:rPr>
          <w:rFonts w:ascii="Arial" w:hAnsi="Arial" w:cs="Arial"/>
          <w:sz w:val="24"/>
          <w:szCs w:val="24"/>
        </w:rPr>
        <w:t>Fathi</w:t>
      </w:r>
      <w:r w:rsidRPr="007E07FF">
        <w:rPr>
          <w:rFonts w:ascii="Arial" w:hAnsi="Arial" w:cs="Arial"/>
          <w:sz w:val="24"/>
          <w:szCs w:val="24"/>
        </w:rPr>
        <w:t xml:space="preserve"> have given false testimony in discovery in </w:t>
      </w:r>
      <w:r w:rsidR="00790D8B">
        <w:rPr>
          <w:rFonts w:ascii="Arial" w:hAnsi="Arial" w:cs="Arial"/>
          <w:sz w:val="24"/>
          <w:szCs w:val="24"/>
        </w:rPr>
        <w:t>her case</w:t>
      </w:r>
      <w:r w:rsidRPr="007E07FF">
        <w:rPr>
          <w:rFonts w:ascii="Arial" w:hAnsi="Arial" w:cs="Arial"/>
          <w:sz w:val="24"/>
          <w:szCs w:val="24"/>
        </w:rPr>
        <w:t xml:space="preserve"> as well in this case.</w:t>
      </w:r>
    </w:p>
    <w:p w14:paraId="43765FCF" w14:textId="2DCF0059" w:rsidR="002F0F33" w:rsidRDefault="002F0F33">
      <w:pPr>
        <w:pStyle w:val="FootnoteText"/>
      </w:pPr>
    </w:p>
  </w:footnote>
  <w:footnote w:id="7">
    <w:p w14:paraId="78FAB896" w14:textId="303EDAB9" w:rsidR="00826D4C" w:rsidRPr="007E07FF" w:rsidRDefault="00826D4C" w:rsidP="00826D4C">
      <w:pPr>
        <w:jc w:val="both"/>
        <w:outlineLvl w:val="0"/>
        <w:rPr>
          <w:rFonts w:cs="Arial"/>
          <w:color w:val="000000"/>
          <w:shd w:val="clear" w:color="auto" w:fill="FFFFFF"/>
        </w:rPr>
      </w:pPr>
      <w:r w:rsidRPr="007E07FF">
        <w:rPr>
          <w:rStyle w:val="FootnoteReference"/>
          <w:rFonts w:cs="Arial"/>
        </w:rPr>
        <w:footnoteRef/>
      </w:r>
      <w:r w:rsidRPr="007E07FF">
        <w:rPr>
          <w:rFonts w:cs="Arial"/>
        </w:rPr>
        <w:t xml:space="preserve"> From 1918 to 1951, a great and protracted battle was fought over </w:t>
      </w:r>
      <w:r w:rsidR="00F06095">
        <w:rPr>
          <w:rFonts w:cs="Arial"/>
        </w:rPr>
        <w:t xml:space="preserve">the mineral </w:t>
      </w:r>
      <w:r w:rsidRPr="007E07FF">
        <w:rPr>
          <w:rFonts w:cs="Arial"/>
        </w:rPr>
        <w:t xml:space="preserve">Borax. Several times the Suckow faction brought cases based on a conspiracy that alleged litigation was </w:t>
      </w:r>
      <w:r w:rsidR="00790D8B">
        <w:rPr>
          <w:rFonts w:cs="Arial"/>
        </w:rPr>
        <w:t xml:space="preserve">a tool in the </w:t>
      </w:r>
      <w:r w:rsidRPr="007E07FF">
        <w:rPr>
          <w:rFonts w:cs="Arial"/>
        </w:rPr>
        <w:t xml:space="preserve">conspiracy to injure plaintiffs. </w:t>
      </w:r>
      <w:r w:rsidRPr="00790D8B">
        <w:rPr>
          <w:rFonts w:cs="Arial"/>
          <w:i/>
          <w:iCs/>
        </w:rPr>
        <w:t>These were</w:t>
      </w:r>
      <w:r w:rsidRPr="007E07FF">
        <w:rPr>
          <w:rFonts w:cs="Arial"/>
        </w:rPr>
        <w:t xml:space="preserve"> </w:t>
      </w:r>
      <w:r w:rsidRPr="00790D8B">
        <w:rPr>
          <w:rFonts w:cs="Arial"/>
          <w:i/>
          <w:iCs/>
        </w:rPr>
        <w:t>conspiracy, not antitrust actions</w:t>
      </w:r>
      <w:r w:rsidRPr="007E07FF">
        <w:rPr>
          <w:rFonts w:cs="Arial"/>
        </w:rPr>
        <w:t>. The cases were originally dismissed largely because of statute of limitations issues</w:t>
      </w:r>
      <w:r w:rsidR="00F06095">
        <w:rPr>
          <w:rFonts w:cs="Arial"/>
        </w:rPr>
        <w:t xml:space="preserve">, </w:t>
      </w:r>
      <w:r w:rsidR="00790D8B">
        <w:rPr>
          <w:rFonts w:cs="Arial"/>
        </w:rPr>
        <w:t xml:space="preserve">which was </w:t>
      </w:r>
      <w:r w:rsidR="00F06095">
        <w:rPr>
          <w:rFonts w:cs="Arial"/>
        </w:rPr>
        <w:t>a problem in addressing extended conspiracies</w:t>
      </w:r>
      <w:r w:rsidR="00790D8B">
        <w:rPr>
          <w:rFonts w:cs="Arial"/>
        </w:rPr>
        <w:t xml:space="preserve"> at that time</w:t>
      </w:r>
      <w:r w:rsidR="00F06095">
        <w:rPr>
          <w:rFonts w:cs="Arial"/>
        </w:rPr>
        <w:t>.</w:t>
      </w:r>
      <w:r w:rsidRPr="007E07FF">
        <w:rPr>
          <w:rFonts w:cs="Arial"/>
        </w:rPr>
        <w:t xml:space="preserve"> However, the law on litigation </w:t>
      </w:r>
      <w:r w:rsidR="00227B69">
        <w:rPr>
          <w:rFonts w:cs="Arial"/>
        </w:rPr>
        <w:t>of</w:t>
      </w:r>
      <w:r w:rsidRPr="007E07FF">
        <w:rPr>
          <w:rFonts w:cs="Arial"/>
        </w:rPr>
        <w:t xml:space="preserve"> such conspiracies grew and became more sophisticated. In 1950, the Ninth Circuit Court of Appeals decided </w:t>
      </w:r>
      <w:r w:rsidRPr="007E07FF">
        <w:rPr>
          <w:rFonts w:cs="Arial"/>
          <w:i/>
          <w:iCs/>
          <w:color w:val="000000"/>
          <w:shd w:val="clear" w:color="auto" w:fill="FFFFFF"/>
        </w:rPr>
        <w:t>Suckow Borax Mines Consolidated, Inc. v. Borax Consolidated Ltd</w:t>
      </w:r>
      <w:r w:rsidRPr="007E07FF">
        <w:rPr>
          <w:rFonts w:cs="Arial"/>
          <w:color w:val="000000"/>
          <w:shd w:val="clear" w:color="auto" w:fill="FFFFFF"/>
        </w:rPr>
        <w:t xml:space="preserve">., 185 F.2d 196 (9th Cir. 1950). And in 1951, the U.S. Supreme Court denied certiorari at 340 U.S. 943 (1951). </w:t>
      </w:r>
    </w:p>
    <w:p w14:paraId="45884A4D" w14:textId="24CB2AD5" w:rsidR="00826D4C" w:rsidRDefault="00826D4C" w:rsidP="00826D4C">
      <w:pPr>
        <w:jc w:val="both"/>
        <w:outlineLvl w:val="0"/>
        <w:rPr>
          <w:rFonts w:cs="Arial"/>
          <w:color w:val="000000"/>
          <w:shd w:val="clear" w:color="auto" w:fill="FFFFFF"/>
        </w:rPr>
      </w:pPr>
      <w:r w:rsidRPr="007E07FF">
        <w:rPr>
          <w:rFonts w:cs="Arial"/>
          <w:color w:val="000000"/>
          <w:shd w:val="clear" w:color="auto" w:fill="FFFFFF"/>
        </w:rPr>
        <w:t xml:space="preserve">      There, the plaintiffs instituted an action to recover damages caused by an alleged conspiracy of Borax Ltd. and its affiliates, in conjunction with American Potash and Chemical Corporation and Stauffer Chemical Company, and others, to </w:t>
      </w:r>
      <w:r w:rsidR="00790D8B">
        <w:rPr>
          <w:rFonts w:cs="Arial"/>
          <w:color w:val="000000"/>
          <w:shd w:val="clear" w:color="auto" w:fill="FFFFFF"/>
        </w:rPr>
        <w:t>control</w:t>
      </w:r>
      <w:r w:rsidRPr="007E07FF">
        <w:rPr>
          <w:rFonts w:cs="Arial"/>
          <w:color w:val="000000"/>
          <w:shd w:val="clear" w:color="auto" w:fill="FFFFFF"/>
        </w:rPr>
        <w:t xml:space="preserve"> the borax industry. The plaintiffs alleged that following a series of acts starting in 1918, in 1929, primarily that the defendants entered into a continuing conspiracy to </w:t>
      </w:r>
      <w:r w:rsidR="00CB0500">
        <w:rPr>
          <w:rFonts w:cs="Arial"/>
          <w:color w:val="000000"/>
          <w:shd w:val="clear" w:color="auto" w:fill="FFFFFF"/>
        </w:rPr>
        <w:t>control</w:t>
      </w:r>
      <w:r w:rsidRPr="007E07FF">
        <w:rPr>
          <w:rFonts w:cs="Arial"/>
          <w:color w:val="000000"/>
          <w:shd w:val="clear" w:color="auto" w:fill="FFFFFF"/>
        </w:rPr>
        <w:t xml:space="preserve"> the world supply of borax and, in </w:t>
      </w:r>
      <w:r w:rsidRPr="007E07FF">
        <w:rPr>
          <w:rStyle w:val="sssh"/>
          <w:rFonts w:eastAsiaTheme="majorEastAsia" w:cs="Arial"/>
          <w:color w:val="000000"/>
          <w:bdr w:val="none" w:sz="0" w:space="0" w:color="auto" w:frame="1"/>
        </w:rPr>
        <w:t>furtherance</w:t>
      </w:r>
      <w:r w:rsidRPr="007E07FF">
        <w:rPr>
          <w:rFonts w:cs="Arial"/>
          <w:color w:val="000000"/>
          <w:shd w:val="clear" w:color="auto" w:fill="FFFFFF"/>
        </w:rPr>
        <w:t xml:space="preserve"> of the </w:t>
      </w:r>
      <w:r w:rsidRPr="007E07FF">
        <w:rPr>
          <w:rStyle w:val="sssh"/>
          <w:rFonts w:eastAsiaTheme="majorEastAsia" w:cs="Arial"/>
          <w:color w:val="000000"/>
          <w:bdr w:val="none" w:sz="0" w:space="0" w:color="auto" w:frame="1"/>
        </w:rPr>
        <w:t>conspiracy</w:t>
      </w:r>
      <w:r w:rsidRPr="007E07FF">
        <w:rPr>
          <w:rFonts w:cs="Arial"/>
          <w:color w:val="000000"/>
          <w:shd w:val="clear" w:color="auto" w:fill="FFFFFF"/>
        </w:rPr>
        <w:t xml:space="preserve">, commenced </w:t>
      </w:r>
      <w:r w:rsidRPr="007E07FF">
        <w:rPr>
          <w:rStyle w:val="sssh"/>
          <w:rFonts w:eastAsiaTheme="majorEastAsia" w:cs="Arial"/>
          <w:color w:val="000000"/>
          <w:bdr w:val="none" w:sz="0" w:space="0" w:color="auto" w:frame="1"/>
        </w:rPr>
        <w:t>litigation</w:t>
      </w:r>
      <w:r w:rsidRPr="007E07FF">
        <w:rPr>
          <w:rFonts w:cs="Arial"/>
          <w:color w:val="000000"/>
          <w:shd w:val="clear" w:color="auto" w:fill="FFFFFF"/>
        </w:rPr>
        <w:t xml:space="preserve"> against Suckow as part of the conspiracy—for the purpose of eliminating it as a competitor.</w:t>
      </w:r>
    </w:p>
    <w:p w14:paraId="5449E945" w14:textId="77777777" w:rsidR="00BA3449" w:rsidRPr="00BA3449" w:rsidRDefault="00BA3449" w:rsidP="00826D4C">
      <w:pPr>
        <w:jc w:val="both"/>
        <w:outlineLvl w:val="0"/>
        <w:rPr>
          <w:rFonts w:cs="Arial"/>
          <w:color w:val="000000"/>
          <w:sz w:val="12"/>
          <w:szCs w:val="12"/>
          <w:shd w:val="clear" w:color="auto" w:fill="FFFFFF"/>
        </w:rPr>
      </w:pPr>
    </w:p>
  </w:footnote>
  <w:footnote w:id="8">
    <w:p w14:paraId="5156255B" w14:textId="6A3FF39A" w:rsidR="00BA3449" w:rsidRDefault="00BA3449" w:rsidP="00BA3449">
      <w:pPr>
        <w:pStyle w:val="FootnoteText"/>
        <w:jc w:val="both"/>
        <w:outlineLvl w:val="0"/>
        <w:rPr>
          <w:rFonts w:ascii="Arial" w:hAnsi="Arial" w:cs="Arial"/>
          <w:sz w:val="24"/>
        </w:rPr>
      </w:pPr>
      <w:r w:rsidRPr="00BA3449">
        <w:rPr>
          <w:rStyle w:val="FootnoteReference"/>
          <w:rFonts w:ascii="Arial" w:hAnsi="Arial" w:cs="Arial"/>
          <w:sz w:val="24"/>
        </w:rPr>
        <w:footnoteRef/>
      </w:r>
      <w:r w:rsidRPr="00BA3449">
        <w:rPr>
          <w:rFonts w:ascii="Arial" w:hAnsi="Arial" w:cs="Arial"/>
          <w:sz w:val="24"/>
        </w:rPr>
        <w:t xml:space="preserve"> Thus the filing of the simultaneous motion for leave to supplement.</w:t>
      </w:r>
    </w:p>
    <w:p w14:paraId="32713B9B" w14:textId="77777777" w:rsidR="00CF0A15" w:rsidRPr="00BA3449" w:rsidRDefault="00CF0A15" w:rsidP="00BA3449">
      <w:pPr>
        <w:pStyle w:val="FootnoteText"/>
        <w:jc w:val="both"/>
        <w:outlineLvl w:val="0"/>
        <w:rPr>
          <w:rFonts w:ascii="Arial" w:hAnsi="Arial" w:cs="Arial"/>
          <w:sz w:val="24"/>
        </w:rPr>
      </w:pPr>
    </w:p>
  </w:footnote>
  <w:footnote w:id="9">
    <w:p w14:paraId="6EEA03B0" w14:textId="36031A82" w:rsidR="00BC1150" w:rsidRPr="007E07FF" w:rsidRDefault="00BC1150" w:rsidP="00BC1150">
      <w:pPr>
        <w:autoSpaceDE w:val="0"/>
        <w:autoSpaceDN w:val="0"/>
        <w:adjustRightInd w:val="0"/>
        <w:jc w:val="both"/>
        <w:rPr>
          <w:rFonts w:cs="Arial"/>
        </w:rPr>
      </w:pPr>
      <w:r w:rsidRPr="007E07FF">
        <w:rPr>
          <w:rStyle w:val="FootnoteReference"/>
          <w:rFonts w:cs="Arial"/>
        </w:rPr>
        <w:footnoteRef/>
      </w:r>
      <w:r w:rsidRPr="007E07FF">
        <w:rPr>
          <w:rFonts w:cs="Arial"/>
        </w:rPr>
        <w:t xml:space="preserve"> </w:t>
      </w:r>
      <w:r w:rsidRPr="007E07FF">
        <w:rPr>
          <w:rFonts w:eastAsiaTheme="minorHAnsi" w:cs="Arial"/>
          <w:i/>
          <w:iCs/>
        </w:rPr>
        <w:t xml:space="preserve">Letter </w:t>
      </w:r>
      <w:r w:rsidRPr="007E07FF">
        <w:rPr>
          <w:rFonts w:eastAsiaTheme="minorHAnsi" w:cs="Arial"/>
        </w:rPr>
        <w:t>from Atty. Holt to Atty. Hymes, date</w:t>
      </w:r>
      <w:r w:rsidR="00DC2DDD">
        <w:rPr>
          <w:rFonts w:eastAsiaTheme="minorHAnsi" w:cs="Arial"/>
        </w:rPr>
        <w:t>d</w:t>
      </w:r>
      <w:r w:rsidRPr="007E07FF">
        <w:rPr>
          <w:rFonts w:eastAsiaTheme="minorHAnsi" w:cs="Arial"/>
        </w:rPr>
        <w:t xml:space="preserve"> August 1, 2017. (“ln follow up to our Rule 37 conference, I want to memorialize what I understand we agreed on. . . .3. Regarding Manal's passports, you are obtaining copies as promptly as you can, which you will then file under seal with the Court, notifying me when you do.”)</w:t>
      </w:r>
    </w:p>
    <w:p w14:paraId="49F39655" w14:textId="77777777" w:rsidR="00BC1150" w:rsidRPr="007E07FF" w:rsidRDefault="00BC1150" w:rsidP="00BC1150">
      <w:pPr>
        <w:pStyle w:val="FootnoteText"/>
        <w:rPr>
          <w:rFonts w:ascii="Arial" w:hAnsi="Arial" w:cs="Arial"/>
          <w:sz w:val="24"/>
          <w:szCs w:val="24"/>
        </w:rPr>
      </w:pPr>
    </w:p>
  </w:footnote>
  <w:footnote w:id="10">
    <w:p w14:paraId="706D158F" w14:textId="26181C4C" w:rsidR="00826D4C" w:rsidRDefault="00826D4C" w:rsidP="00CF0A15">
      <w:pPr>
        <w:autoSpaceDE w:val="0"/>
        <w:autoSpaceDN w:val="0"/>
        <w:adjustRightInd w:val="0"/>
        <w:jc w:val="both"/>
        <w:rPr>
          <w:rFonts w:eastAsiaTheme="minorHAnsi" w:cs="Arial"/>
        </w:rPr>
      </w:pPr>
      <w:r w:rsidRPr="007E07FF">
        <w:rPr>
          <w:rStyle w:val="FootnoteReference"/>
          <w:rFonts w:cs="Arial"/>
        </w:rPr>
        <w:footnoteRef/>
      </w:r>
      <w:r w:rsidRPr="007E07FF">
        <w:rPr>
          <w:rFonts w:cs="Arial"/>
        </w:rPr>
        <w:t xml:space="preserve"> </w:t>
      </w:r>
      <w:r w:rsidRPr="007E07FF">
        <w:rPr>
          <w:rFonts w:eastAsiaTheme="minorHAnsi" w:cs="Arial"/>
        </w:rPr>
        <w:t>In his lette</w:t>
      </w:r>
      <w:r w:rsidR="00CF0A15">
        <w:rPr>
          <w:rFonts w:eastAsiaTheme="minorHAnsi" w:cs="Arial"/>
        </w:rPr>
        <w:t>r</w:t>
      </w:r>
      <w:r w:rsidRPr="007E07FF">
        <w:rPr>
          <w:rFonts w:eastAsiaTheme="minorHAnsi" w:cs="Arial"/>
        </w:rPr>
        <w:t xml:space="preserve">, Manal’s counsel incorrectly characterized this as solely being about the ability to serve her with process in Palestine. However the record is clear. He initially stated, in the Rule 16 conference, it would be provided—and it was almost entirely discussed as a standard request to any party where financial matters are involved, </w:t>
      </w:r>
      <w:r w:rsidRPr="007E07FF">
        <w:rPr>
          <w:rFonts w:eastAsiaTheme="minorHAnsi" w:cs="Arial"/>
          <w:i/>
          <w:iCs/>
        </w:rPr>
        <w:t>to do credit and other financial investigation</w:t>
      </w:r>
      <w:r w:rsidR="00CF0A15">
        <w:rPr>
          <w:rFonts w:eastAsiaTheme="minorHAnsi" w:cs="Arial"/>
          <w:i/>
          <w:iCs/>
        </w:rPr>
        <w:t>—as well as a possible Hague Convention service for discovery assistance</w:t>
      </w:r>
      <w:r w:rsidRPr="007E07FF">
        <w:rPr>
          <w:rFonts w:eastAsiaTheme="minorHAnsi" w:cs="Arial"/>
        </w:rPr>
        <w:t>.</w:t>
      </w:r>
      <w:r w:rsidRPr="00CF0A15">
        <w:rPr>
          <w:rFonts w:eastAsiaTheme="minorHAnsi" w:cs="Arial"/>
        </w:rPr>
        <w:t xml:space="preserve"> </w:t>
      </w:r>
      <w:r w:rsidR="00CF0A15">
        <w:rPr>
          <w:rFonts w:eastAsiaTheme="minorHAnsi" w:cs="Arial"/>
        </w:rPr>
        <w:t>At</w:t>
      </w:r>
      <w:r w:rsidRPr="007E07FF">
        <w:rPr>
          <w:rFonts w:eastAsiaTheme="minorHAnsi" w:cs="Arial"/>
        </w:rPr>
        <w:t xml:space="preserve"> 2 of Hartmann’s letter to Hymes, dated October 20, 2022. </w:t>
      </w:r>
    </w:p>
    <w:p w14:paraId="10CEE4D4" w14:textId="77777777" w:rsidR="00000BF6" w:rsidRPr="00000BF6" w:rsidRDefault="00000BF6" w:rsidP="00826D4C">
      <w:pPr>
        <w:autoSpaceDE w:val="0"/>
        <w:autoSpaceDN w:val="0"/>
        <w:adjustRightInd w:val="0"/>
        <w:rPr>
          <w:rFonts w:eastAsiaTheme="minorHAnsi" w:cs="Arial"/>
          <w:sz w:val="12"/>
          <w:szCs w:val="12"/>
        </w:rPr>
      </w:pPr>
    </w:p>
    <w:p w14:paraId="1C411B75" w14:textId="4EE02852" w:rsidR="00826D4C" w:rsidRPr="002F06B6" w:rsidRDefault="00826D4C" w:rsidP="0066667C">
      <w:pPr>
        <w:autoSpaceDE w:val="0"/>
        <w:autoSpaceDN w:val="0"/>
        <w:adjustRightInd w:val="0"/>
        <w:ind w:left="720" w:right="720"/>
        <w:jc w:val="both"/>
        <w:outlineLvl w:val="0"/>
        <w:rPr>
          <w:rFonts w:cs="Arial"/>
        </w:rPr>
      </w:pPr>
      <w:r w:rsidRPr="002F06B6">
        <w:rPr>
          <w:rFonts w:eastAsiaTheme="minorHAnsi" w:cs="Arial"/>
        </w:rPr>
        <w:t>Item 8: We asked for her present address, and if it was not a place with</w:t>
      </w:r>
      <w:r w:rsidR="0066667C">
        <w:rPr>
          <w:rFonts w:eastAsiaTheme="minorHAnsi" w:cs="Arial"/>
        </w:rPr>
        <w:t xml:space="preserve"> </w:t>
      </w:r>
      <w:r w:rsidRPr="002F06B6">
        <w:rPr>
          <w:rFonts w:eastAsiaTheme="minorHAnsi" w:cs="Arial"/>
        </w:rPr>
        <w:t xml:space="preserve">valid physical addresses, that it be described by route and </w:t>
      </w:r>
      <w:r w:rsidR="0066667C" w:rsidRPr="002F06B6">
        <w:rPr>
          <w:rFonts w:eastAsiaTheme="minorHAnsi" w:cs="Arial"/>
        </w:rPr>
        <w:t>physical</w:t>
      </w:r>
      <w:r w:rsidR="0066667C">
        <w:rPr>
          <w:rFonts w:eastAsiaTheme="minorHAnsi" w:cs="Arial"/>
        </w:rPr>
        <w:t xml:space="preserve"> </w:t>
      </w:r>
      <w:r w:rsidRPr="002F06B6">
        <w:rPr>
          <w:rFonts w:eastAsiaTheme="minorHAnsi" w:cs="Arial"/>
        </w:rPr>
        <w:t>appearance. You asked why I would want that. I responded that (1) it is</w:t>
      </w:r>
      <w:r w:rsidR="0066667C">
        <w:rPr>
          <w:rFonts w:eastAsiaTheme="minorHAnsi" w:cs="Arial"/>
        </w:rPr>
        <w:t xml:space="preserve"> </w:t>
      </w:r>
      <w:r w:rsidRPr="002F06B6">
        <w:rPr>
          <w:rFonts w:eastAsiaTheme="minorHAnsi" w:cs="Arial"/>
        </w:rPr>
        <w:t>a standard discovery inquiry of a party, and (2) I intend to have or</w:t>
      </w:r>
      <w:r w:rsidR="0066667C">
        <w:rPr>
          <w:rFonts w:eastAsiaTheme="minorHAnsi" w:cs="Arial"/>
        </w:rPr>
        <w:t xml:space="preserve"> </w:t>
      </w:r>
      <w:r w:rsidRPr="002F06B6">
        <w:rPr>
          <w:rFonts w:eastAsiaTheme="minorHAnsi" w:cs="Arial"/>
        </w:rPr>
        <w:t>may have process served on her locally. You said you would provide</w:t>
      </w:r>
      <w:r w:rsidR="0066667C">
        <w:rPr>
          <w:rFonts w:eastAsiaTheme="minorHAnsi" w:cs="Arial"/>
        </w:rPr>
        <w:t xml:space="preserve"> </w:t>
      </w:r>
      <w:r w:rsidRPr="002F06B6">
        <w:rPr>
          <w:rFonts w:cs="Arial"/>
        </w:rPr>
        <w:t>this.</w:t>
      </w:r>
    </w:p>
    <w:p w14:paraId="00A20FDE" w14:textId="77777777" w:rsidR="002F06B6" w:rsidRPr="002F06B6" w:rsidRDefault="002F06B6" w:rsidP="00826D4C">
      <w:pPr>
        <w:pStyle w:val="FootnoteText"/>
        <w:ind w:left="720" w:right="720"/>
        <w:jc w:val="both"/>
        <w:outlineLvl w:val="0"/>
        <w:rPr>
          <w:rFonts w:ascii="Arial" w:hAnsi="Arial" w:cs="Arial"/>
          <w:sz w:val="12"/>
          <w:szCs w:val="12"/>
        </w:rPr>
      </w:pPr>
    </w:p>
  </w:footnote>
  <w:footnote w:id="11">
    <w:p w14:paraId="7E69DC1A" w14:textId="480DD437" w:rsidR="00707A47" w:rsidRDefault="00707A47" w:rsidP="00707A47">
      <w:pPr>
        <w:autoSpaceDE w:val="0"/>
        <w:autoSpaceDN w:val="0"/>
        <w:adjustRightInd w:val="0"/>
        <w:jc w:val="both"/>
        <w:rPr>
          <w:rFonts w:eastAsiaTheme="minorHAnsi" w:cs="Arial"/>
        </w:rPr>
      </w:pPr>
      <w:r w:rsidRPr="007E07FF">
        <w:rPr>
          <w:rStyle w:val="FootnoteReference"/>
          <w:rFonts w:cs="Arial"/>
        </w:rPr>
        <w:footnoteRef/>
      </w:r>
      <w:r w:rsidRPr="007E07FF">
        <w:rPr>
          <w:rFonts w:cs="Arial"/>
        </w:rPr>
        <w:t xml:space="preserve"> </w:t>
      </w:r>
      <w:r w:rsidRPr="007E07FF">
        <w:rPr>
          <w:rFonts w:eastAsiaTheme="minorHAnsi" w:cs="Arial"/>
        </w:rPr>
        <w:t>It is completely baffling as to why, when Manal concedes that Hamed contests the issue of any such interest payments, she would deny</w:t>
      </w:r>
      <w:r w:rsidR="00CB0500">
        <w:rPr>
          <w:rFonts w:eastAsiaTheme="minorHAnsi" w:cs="Arial"/>
        </w:rPr>
        <w:t xml:space="preserve"> the existence of and </w:t>
      </w:r>
      <w:r w:rsidRPr="007E07FF">
        <w:rPr>
          <w:rFonts w:eastAsiaTheme="minorHAnsi" w:cs="Arial"/>
        </w:rPr>
        <w:t xml:space="preserve">access to her bank records for that period.) In the absence of </w:t>
      </w:r>
      <w:r w:rsidRPr="007E07FF">
        <w:rPr>
          <w:rFonts w:eastAsiaTheme="minorHAnsi" w:cs="Arial"/>
          <w:i/>
          <w:iCs/>
        </w:rPr>
        <w:t xml:space="preserve">any </w:t>
      </w:r>
      <w:r w:rsidRPr="007E07FF">
        <w:rPr>
          <w:rFonts w:eastAsiaTheme="minorHAnsi" w:cs="Arial"/>
        </w:rPr>
        <w:t>supporting documents or tax records about a million dollars in cash from either Isam or Manal regarding interest payments—it would see</w:t>
      </w:r>
      <w:r w:rsidR="00CF0A15">
        <w:rPr>
          <w:rFonts w:eastAsiaTheme="minorHAnsi" w:cs="Arial"/>
        </w:rPr>
        <w:t>m</w:t>
      </w:r>
      <w:r w:rsidRPr="007E07FF">
        <w:rPr>
          <w:rFonts w:eastAsiaTheme="minorHAnsi" w:cs="Arial"/>
        </w:rPr>
        <w:t xml:space="preserve"> contemporaneous bank records would be of highest importance. Her refusal is another current act in furtherance as well.</w:t>
      </w:r>
    </w:p>
    <w:p w14:paraId="2FA3C03C" w14:textId="77777777" w:rsidR="002B5B09" w:rsidRPr="007E07FF" w:rsidRDefault="002B5B09" w:rsidP="00707A47">
      <w:pPr>
        <w:autoSpaceDE w:val="0"/>
        <w:autoSpaceDN w:val="0"/>
        <w:adjustRightInd w:val="0"/>
        <w:jc w:val="both"/>
        <w:rPr>
          <w:rFonts w:cs="Arial"/>
        </w:rPr>
      </w:pPr>
    </w:p>
  </w:footnote>
  <w:footnote w:id="12">
    <w:p w14:paraId="61953A55" w14:textId="6CAB32D4" w:rsidR="001812B3" w:rsidRDefault="001812B3" w:rsidP="001812B3">
      <w:pPr>
        <w:pStyle w:val="FootnoteText"/>
        <w:jc w:val="both"/>
        <w:outlineLvl w:val="0"/>
        <w:rPr>
          <w:rFonts w:ascii="Arial" w:hAnsi="Arial" w:cs="Arial"/>
          <w:sz w:val="24"/>
        </w:rPr>
      </w:pPr>
      <w:r w:rsidRPr="001812B3">
        <w:rPr>
          <w:rStyle w:val="FootnoteReference"/>
          <w:rFonts w:ascii="Arial" w:hAnsi="Arial" w:cs="Arial"/>
          <w:sz w:val="24"/>
        </w:rPr>
        <w:footnoteRef/>
      </w:r>
      <w:r w:rsidRPr="001812B3">
        <w:rPr>
          <w:rFonts w:ascii="Arial" w:hAnsi="Arial" w:cs="Arial"/>
          <w:sz w:val="24"/>
        </w:rPr>
        <w:t xml:space="preserve"> Changed: “</w:t>
      </w:r>
      <w:r w:rsidRPr="001812B3">
        <w:rPr>
          <w:rFonts w:ascii="Arial" w:hAnsi="Arial" w:cs="Arial"/>
          <w:dstrike/>
          <w:sz w:val="24"/>
        </w:rPr>
        <w:t>The St. Martin Defendants</w:t>
      </w:r>
      <w:r w:rsidRPr="001812B3">
        <w:rPr>
          <w:rFonts w:ascii="Arial" w:hAnsi="Arial" w:cs="Arial"/>
          <w:sz w:val="24"/>
        </w:rPr>
        <w:t xml:space="preserve"> </w:t>
      </w:r>
      <w:r w:rsidRPr="001812B3">
        <w:rPr>
          <w:rFonts w:ascii="Arial" w:hAnsi="Arial" w:cs="Arial"/>
          <w:sz w:val="24"/>
          <w:u w:val="single"/>
        </w:rPr>
        <w:t>Isam Yousuf, Manal Yousef and Jamil Yousuf (“the St. Martin Defendants”)</w:t>
      </w:r>
      <w:r w:rsidRPr="001812B3">
        <w:rPr>
          <w:rFonts w:ascii="Arial" w:hAnsi="Arial" w:cs="Arial"/>
          <w:sz w:val="24"/>
        </w:rPr>
        <w:t xml:space="preserve"> were central to this effort to embezzle the Sixteen Plus funds.</w:t>
      </w:r>
    </w:p>
    <w:p w14:paraId="7EC9D151" w14:textId="77777777" w:rsidR="001812B3" w:rsidRPr="001812B3" w:rsidRDefault="001812B3" w:rsidP="001812B3">
      <w:pPr>
        <w:pStyle w:val="FootnoteText"/>
        <w:jc w:val="both"/>
        <w:outlineLvl w:val="0"/>
        <w:rPr>
          <w:rFonts w:ascii="Arial" w:hAnsi="Arial" w:cs="Arial"/>
          <w:sz w:val="24"/>
        </w:rPr>
      </w:pPr>
    </w:p>
  </w:footnote>
  <w:footnote w:id="13">
    <w:p w14:paraId="2C44B469" w14:textId="3145329C" w:rsidR="001812B3" w:rsidRDefault="001812B3" w:rsidP="001812B3">
      <w:pPr>
        <w:pStyle w:val="FootnoteText"/>
        <w:jc w:val="both"/>
        <w:outlineLvl w:val="0"/>
        <w:rPr>
          <w:rFonts w:ascii="Arial" w:hAnsi="Arial" w:cs="Arial"/>
          <w:sz w:val="24"/>
        </w:rPr>
      </w:pPr>
      <w:r>
        <w:rPr>
          <w:rStyle w:val="FootnoteReference"/>
        </w:rPr>
        <w:footnoteRef/>
      </w:r>
      <w:r>
        <w:t xml:space="preserve"> </w:t>
      </w:r>
      <w:r w:rsidRPr="001812B3">
        <w:rPr>
          <w:rFonts w:ascii="Arial" w:hAnsi="Arial" w:cs="Arial"/>
          <w:sz w:val="24"/>
        </w:rPr>
        <w:t>Upon information and belief, the power of attorney was drawn up by a Virgin Islands lawyer retained by Fathi Yusuf and executed at the request and direction of the St. Martin Defendants by Manal Yousef on St. Martin.</w:t>
      </w:r>
    </w:p>
    <w:p w14:paraId="46B3518E" w14:textId="77777777" w:rsidR="0003051C" w:rsidRDefault="0003051C" w:rsidP="001812B3">
      <w:pPr>
        <w:pStyle w:val="FootnoteText"/>
        <w:jc w:val="both"/>
        <w:outlineLvl w:val="0"/>
      </w:pPr>
    </w:p>
  </w:footnote>
  <w:footnote w:id="14">
    <w:p w14:paraId="7ED6C17A" w14:textId="6921D5C7" w:rsidR="00ED2661" w:rsidRDefault="00ED2661" w:rsidP="00ED2661">
      <w:pPr>
        <w:pStyle w:val="FootnoteText"/>
        <w:jc w:val="both"/>
        <w:outlineLvl w:val="0"/>
        <w:rPr>
          <w:rFonts w:ascii="Arial" w:hAnsi="Arial" w:cs="Arial"/>
          <w:sz w:val="24"/>
        </w:rPr>
      </w:pPr>
      <w:r w:rsidRPr="00ED2661">
        <w:rPr>
          <w:rStyle w:val="FootnoteReference"/>
          <w:rFonts w:ascii="Arial" w:hAnsi="Arial" w:cs="Arial"/>
          <w:sz w:val="24"/>
        </w:rPr>
        <w:footnoteRef/>
      </w:r>
      <w:r w:rsidRPr="00ED2661">
        <w:rPr>
          <w:rFonts w:ascii="Arial" w:hAnsi="Arial" w:cs="Arial"/>
          <w:sz w:val="24"/>
        </w:rPr>
        <w:t xml:space="preserve"> </w:t>
      </w:r>
      <w:r>
        <w:rPr>
          <w:rFonts w:ascii="Arial" w:hAnsi="Arial" w:cs="Arial"/>
          <w:sz w:val="24"/>
        </w:rPr>
        <w:t>Changed: “</w:t>
      </w:r>
      <w:r w:rsidRPr="00ED2661">
        <w:rPr>
          <w:rFonts w:ascii="Arial" w:hAnsi="Arial" w:cs="Arial"/>
          <w:sz w:val="24"/>
        </w:rPr>
        <w:t xml:space="preserve">All funds used to buy the Land came from </w:t>
      </w:r>
      <w:r w:rsidRPr="00ED2661">
        <w:rPr>
          <w:rFonts w:ascii="Arial" w:hAnsi="Arial" w:cs="Arial"/>
          <w:sz w:val="24"/>
          <w:u w:val="single"/>
        </w:rPr>
        <w:t>funds removed from</w:t>
      </w:r>
      <w:r w:rsidRPr="00ED2661">
        <w:rPr>
          <w:rFonts w:ascii="Arial" w:hAnsi="Arial" w:cs="Arial"/>
          <w:sz w:val="24"/>
        </w:rPr>
        <w:t xml:space="preserve"> the Plaza Extra Supermarkets partnership </w:t>
      </w:r>
      <w:r w:rsidRPr="00ED2661">
        <w:rPr>
          <w:rFonts w:ascii="Arial" w:hAnsi="Arial" w:cs="Arial"/>
          <w:sz w:val="24"/>
          <w:u w:val="single"/>
        </w:rPr>
        <w:t>by the Hamed and Yusuf families, 50/50</w:t>
      </w:r>
      <w:r w:rsidRPr="00ED2661">
        <w:rPr>
          <w:rFonts w:ascii="Arial" w:hAnsi="Arial" w:cs="Arial"/>
          <w:sz w:val="24"/>
        </w:rPr>
        <w:t xml:space="preserve"> </w:t>
      </w:r>
      <w:r w:rsidRPr="00ED2661">
        <w:rPr>
          <w:rFonts w:ascii="Arial" w:hAnsi="Arial" w:cs="Arial"/>
          <w:strike/>
          <w:sz w:val="24"/>
        </w:rPr>
        <w:t xml:space="preserve">– </w:t>
      </w:r>
      <w:r w:rsidRPr="00ED2661">
        <w:rPr>
          <w:rFonts w:ascii="Arial" w:hAnsi="Arial" w:cs="Arial"/>
          <w:dstrike/>
          <w:sz w:val="24"/>
        </w:rPr>
        <w:t>and thus from Yusuf and Hamed as the only two partners</w:t>
      </w:r>
      <w:r>
        <w:rPr>
          <w:rFonts w:ascii="Arial" w:hAnsi="Arial" w:cs="Arial"/>
          <w:sz w:val="24"/>
        </w:rPr>
        <w:t>.”</w:t>
      </w:r>
    </w:p>
    <w:p w14:paraId="46DB18AF" w14:textId="77777777" w:rsidR="00ED2661" w:rsidRPr="00ED2661" w:rsidRDefault="00ED2661" w:rsidP="00ED2661">
      <w:pPr>
        <w:pStyle w:val="FootnoteText"/>
        <w:jc w:val="both"/>
        <w:outlineLvl w:val="0"/>
        <w:rPr>
          <w:rFonts w:ascii="Arial" w:hAnsi="Arial" w:cs="Arial"/>
          <w:sz w:val="24"/>
        </w:rPr>
      </w:pPr>
    </w:p>
  </w:footnote>
  <w:footnote w:id="15">
    <w:p w14:paraId="6566F83E" w14:textId="76D7E25E" w:rsidR="00ED2661" w:rsidRDefault="00ED2661" w:rsidP="00ED2661">
      <w:pPr>
        <w:pStyle w:val="FootnoteText"/>
        <w:jc w:val="both"/>
        <w:outlineLvl w:val="0"/>
        <w:rPr>
          <w:rFonts w:ascii="Arial" w:hAnsi="Arial" w:cs="Arial"/>
          <w:sz w:val="24"/>
        </w:rPr>
      </w:pPr>
      <w:r w:rsidRPr="00ED2661">
        <w:rPr>
          <w:rStyle w:val="FootnoteReference"/>
          <w:rFonts w:ascii="Arial" w:hAnsi="Arial" w:cs="Arial"/>
          <w:sz w:val="24"/>
        </w:rPr>
        <w:footnoteRef/>
      </w:r>
      <w:r w:rsidRPr="00ED2661">
        <w:rPr>
          <w:rFonts w:ascii="Arial" w:hAnsi="Arial" w:cs="Arial"/>
          <w:sz w:val="24"/>
        </w:rPr>
        <w:t xml:space="preserve"> Changed: “as he did not want them to know </w:t>
      </w:r>
      <w:r w:rsidRPr="00ED2661">
        <w:rPr>
          <w:rFonts w:ascii="Arial" w:hAnsi="Arial" w:cs="Arial"/>
          <w:sz w:val="24"/>
          <w:u w:val="single"/>
        </w:rPr>
        <w:t>th</w:t>
      </w:r>
      <w:r w:rsidR="0066667C">
        <w:rPr>
          <w:rFonts w:ascii="Arial" w:hAnsi="Arial" w:cs="Arial"/>
          <w:sz w:val="24"/>
          <w:u w:val="single"/>
        </w:rPr>
        <w:t>e</w:t>
      </w:r>
      <w:r w:rsidR="0066667C" w:rsidRPr="00ED2661">
        <w:rPr>
          <w:rFonts w:ascii="Arial" w:hAnsi="Arial" w:cs="Arial"/>
          <w:sz w:val="24"/>
          <w:u w:val="single"/>
        </w:rPr>
        <w:t xml:space="preserve"> </w:t>
      </w:r>
      <w:r w:rsidRPr="00ED2661">
        <w:rPr>
          <w:rFonts w:ascii="Arial" w:hAnsi="Arial" w:cs="Arial"/>
          <w:sz w:val="24"/>
          <w:u w:val="single"/>
        </w:rPr>
        <w:t xml:space="preserve">two families were </w:t>
      </w:r>
      <w:r w:rsidRPr="00ED2661">
        <w:rPr>
          <w:rFonts w:ascii="Arial" w:hAnsi="Arial" w:cs="Arial"/>
          <w:dstrike/>
          <w:sz w:val="24"/>
        </w:rPr>
        <w:t>was</w:t>
      </w:r>
      <w:r w:rsidRPr="00ED2661">
        <w:rPr>
          <w:rFonts w:ascii="Arial" w:hAnsi="Arial" w:cs="Arial"/>
          <w:sz w:val="24"/>
        </w:rPr>
        <w:t xml:space="preserve"> secretly diverting unreported cash from the Plaza Extra Supermarket to Sixteen Plus as part of a money laundering effort. The following details of that </w:t>
      </w:r>
      <w:r w:rsidRPr="00ED2661">
        <w:rPr>
          <w:rFonts w:ascii="Arial" w:hAnsi="Arial" w:cs="Arial"/>
          <w:sz w:val="24"/>
          <w:u w:val="single"/>
        </w:rPr>
        <w:t>1996-1997</w:t>
      </w:r>
      <w:r w:rsidRPr="00ED2661">
        <w:rPr>
          <w:rFonts w:ascii="Arial" w:hAnsi="Arial" w:cs="Arial"/>
          <w:sz w:val="24"/>
        </w:rPr>
        <w:t xml:space="preserve"> effort are presented here. . . .”</w:t>
      </w:r>
    </w:p>
    <w:p w14:paraId="0BB83825" w14:textId="77777777" w:rsidR="00ED2661" w:rsidRPr="00ED2661" w:rsidRDefault="00ED2661" w:rsidP="00ED2661">
      <w:pPr>
        <w:pStyle w:val="FootnoteText"/>
        <w:jc w:val="both"/>
        <w:outlineLvl w:val="0"/>
        <w:rPr>
          <w:rFonts w:ascii="Arial" w:hAnsi="Arial" w:cs="Arial"/>
          <w:sz w:val="24"/>
        </w:rPr>
      </w:pPr>
    </w:p>
  </w:footnote>
  <w:footnote w:id="16">
    <w:p w14:paraId="6A0E34B7" w14:textId="4D23E61B" w:rsidR="00F608DC" w:rsidRDefault="00F608DC" w:rsidP="00F608DC">
      <w:pPr>
        <w:pStyle w:val="FootnoteText"/>
        <w:jc w:val="both"/>
        <w:outlineLvl w:val="0"/>
      </w:pPr>
      <w:r>
        <w:rPr>
          <w:rStyle w:val="FootnoteReference"/>
        </w:rPr>
        <w:footnoteRef/>
      </w:r>
      <w:r>
        <w:t xml:space="preserve"> </w:t>
      </w:r>
      <w:r w:rsidRPr="00F608DC">
        <w:rPr>
          <w:rFonts w:ascii="Arial" w:hAnsi="Arial" w:cs="Arial"/>
          <w:sz w:val="24"/>
        </w:rPr>
        <w:t xml:space="preserve">Changed: “as those funds </w:t>
      </w:r>
      <w:r w:rsidRPr="00F608DC">
        <w:rPr>
          <w:rFonts w:ascii="Arial" w:hAnsi="Arial" w:cs="Arial"/>
          <w:dstrike/>
          <w:sz w:val="24"/>
        </w:rPr>
        <w:t>came solely from the partnership and</w:t>
      </w:r>
      <w:r w:rsidRPr="00F608DC">
        <w:rPr>
          <w:rFonts w:ascii="Arial" w:hAnsi="Arial" w:cs="Arial"/>
          <w:sz w:val="24"/>
        </w:rPr>
        <w:t xml:space="preserve"> belonged 50/50 to the Hameds and Yusufs.”</w:t>
      </w:r>
    </w:p>
    <w:p w14:paraId="753F8866" w14:textId="77777777" w:rsidR="00F608DC" w:rsidRDefault="00F608DC">
      <w:pPr>
        <w:pStyle w:val="FootnoteText"/>
      </w:pPr>
    </w:p>
  </w:footnote>
  <w:footnote w:id="17">
    <w:p w14:paraId="2E8F44CD" w14:textId="7FDDE683" w:rsidR="002B5B09" w:rsidRPr="00ED2661" w:rsidRDefault="002B5B09" w:rsidP="002B5B09">
      <w:pPr>
        <w:pStyle w:val="FootnoteText"/>
        <w:jc w:val="both"/>
        <w:outlineLvl w:val="0"/>
        <w:rPr>
          <w:rFonts w:ascii="Arial" w:hAnsi="Arial" w:cs="Arial"/>
          <w:sz w:val="24"/>
          <w:szCs w:val="24"/>
        </w:rPr>
      </w:pPr>
      <w:r w:rsidRPr="00ED2661">
        <w:rPr>
          <w:rStyle w:val="FootnoteReference"/>
          <w:rFonts w:ascii="Arial" w:hAnsi="Arial" w:cs="Arial"/>
          <w:sz w:val="24"/>
          <w:szCs w:val="24"/>
        </w:rPr>
        <w:footnoteRef/>
      </w:r>
      <w:r w:rsidRPr="00ED2661">
        <w:rPr>
          <w:rFonts w:ascii="Arial" w:hAnsi="Arial" w:cs="Arial"/>
          <w:sz w:val="24"/>
          <w:szCs w:val="24"/>
        </w:rPr>
        <w:t xml:space="preserve"> Added: “some of which were also carried out under that instruction by Waleed Hamed and Maher Yusuf.”</w:t>
      </w:r>
    </w:p>
    <w:p w14:paraId="7EE1399B" w14:textId="77777777" w:rsidR="00ED2661" w:rsidRPr="00ED2661" w:rsidRDefault="00ED2661" w:rsidP="002B5B09">
      <w:pPr>
        <w:pStyle w:val="FootnoteText"/>
        <w:jc w:val="both"/>
        <w:outlineLvl w:val="0"/>
        <w:rPr>
          <w:rFonts w:ascii="Arial" w:hAnsi="Arial" w:cs="Arial"/>
          <w:sz w:val="24"/>
          <w:szCs w:val="24"/>
        </w:rPr>
      </w:pPr>
    </w:p>
  </w:footnote>
  <w:footnote w:id="18">
    <w:p w14:paraId="48C7283B" w14:textId="7980F078" w:rsidR="002B5B09" w:rsidRDefault="002B5B09" w:rsidP="00ED2661">
      <w:pPr>
        <w:pStyle w:val="FootnoteText"/>
        <w:jc w:val="both"/>
        <w:outlineLvl w:val="0"/>
        <w:rPr>
          <w:rFonts w:ascii="Arial" w:hAnsi="Arial" w:cs="Arial"/>
          <w:sz w:val="24"/>
          <w:szCs w:val="24"/>
          <w:u w:val="single"/>
        </w:rPr>
      </w:pPr>
      <w:r w:rsidRPr="00ED2661">
        <w:rPr>
          <w:rStyle w:val="FootnoteReference"/>
          <w:rFonts w:ascii="Arial" w:hAnsi="Arial" w:cs="Arial"/>
          <w:sz w:val="24"/>
          <w:szCs w:val="24"/>
        </w:rPr>
        <w:footnoteRef/>
      </w:r>
      <w:r w:rsidRPr="00ED2661">
        <w:rPr>
          <w:rFonts w:ascii="Arial" w:hAnsi="Arial" w:cs="Arial"/>
          <w:sz w:val="24"/>
          <w:szCs w:val="24"/>
        </w:rPr>
        <w:t xml:space="preserve"> </w:t>
      </w:r>
      <w:r w:rsidR="00ED2661" w:rsidRPr="00ED2661">
        <w:rPr>
          <w:rFonts w:ascii="Arial" w:hAnsi="Arial" w:cs="Arial"/>
          <w:sz w:val="24"/>
          <w:szCs w:val="24"/>
        </w:rPr>
        <w:t>Changed: “</w:t>
      </w:r>
      <w:r w:rsidRPr="00ED2661">
        <w:rPr>
          <w:rFonts w:ascii="Arial" w:hAnsi="Arial" w:cs="Arial"/>
          <w:sz w:val="24"/>
          <w:szCs w:val="24"/>
        </w:rPr>
        <w:t>using partnership funds rather than i</w:t>
      </w:r>
      <w:r w:rsidRPr="00ED2661">
        <w:rPr>
          <w:rFonts w:ascii="Arial" w:hAnsi="Arial" w:cs="Arial"/>
          <w:strike/>
          <w:sz w:val="24"/>
          <w:szCs w:val="24"/>
        </w:rPr>
        <w:t>nvolving</w:t>
      </w:r>
      <w:r w:rsidRPr="00ED2661">
        <w:rPr>
          <w:rFonts w:ascii="Arial" w:hAnsi="Arial" w:cs="Arial"/>
          <w:sz w:val="24"/>
          <w:szCs w:val="24"/>
        </w:rPr>
        <w:t xml:space="preserve"> his partner Mohammad Hamed </w:t>
      </w:r>
      <w:r w:rsidRPr="00ED2661">
        <w:rPr>
          <w:rFonts w:ascii="Arial" w:hAnsi="Arial" w:cs="Arial"/>
          <w:sz w:val="24"/>
          <w:szCs w:val="24"/>
          <w:u w:val="single"/>
        </w:rPr>
        <w:t>(or his son, Waleed) directing the purchase</w:t>
      </w:r>
      <w:r w:rsidR="00ED2661" w:rsidRPr="00ED2661">
        <w:rPr>
          <w:rFonts w:ascii="Arial" w:hAnsi="Arial" w:cs="Arial"/>
          <w:sz w:val="24"/>
          <w:szCs w:val="24"/>
          <w:u w:val="single"/>
        </w:rPr>
        <w:t>.”</w:t>
      </w:r>
    </w:p>
    <w:p w14:paraId="6296255A" w14:textId="77777777" w:rsidR="00157A9E" w:rsidRDefault="00157A9E" w:rsidP="00ED2661">
      <w:pPr>
        <w:pStyle w:val="FootnoteText"/>
        <w:jc w:val="both"/>
        <w:outlineLvl w:val="0"/>
      </w:pPr>
    </w:p>
  </w:footnote>
  <w:footnote w:id="19">
    <w:p w14:paraId="1B874CFE" w14:textId="713FD675" w:rsidR="00157A9E" w:rsidRDefault="00157A9E" w:rsidP="00157A9E">
      <w:pPr>
        <w:pStyle w:val="FootnoteText"/>
        <w:jc w:val="both"/>
        <w:outlineLvl w:val="0"/>
        <w:rPr>
          <w:rFonts w:ascii="Arial" w:hAnsi="Arial" w:cs="Arial"/>
          <w:sz w:val="24"/>
        </w:rPr>
      </w:pPr>
      <w:r>
        <w:rPr>
          <w:rStyle w:val="FootnoteReference"/>
        </w:rPr>
        <w:footnoteRef/>
      </w:r>
      <w:r>
        <w:t xml:space="preserve"> </w:t>
      </w:r>
      <w:r>
        <w:rPr>
          <w:rFonts w:ascii="Arial" w:hAnsi="Arial" w:cs="Arial"/>
          <w:sz w:val="24"/>
        </w:rPr>
        <w:t>Changed: “</w:t>
      </w:r>
      <w:r w:rsidRPr="00157A9E">
        <w:rPr>
          <w:rFonts w:ascii="Arial" w:hAnsi="Arial" w:cs="Arial"/>
          <w:sz w:val="24"/>
        </w:rPr>
        <w:t xml:space="preserve">To accomplish this, Fathi Yusuf had large sums of cash delivered to Isam Yousuf in St. Martin, who thereafter </w:t>
      </w:r>
      <w:r w:rsidRPr="00157A9E">
        <w:rPr>
          <w:rFonts w:ascii="Arial" w:hAnsi="Arial" w:cs="Arial"/>
          <w:sz w:val="24"/>
          <w:u w:val="single"/>
        </w:rPr>
        <w:t xml:space="preserve">directed and coordinated, with the assistance or Manal and Yussra, </w:t>
      </w:r>
      <w:r w:rsidRPr="00157A9E">
        <w:rPr>
          <w:rFonts w:ascii="Arial" w:hAnsi="Arial" w:cs="Arial"/>
          <w:dstrike/>
          <w:sz w:val="24"/>
          <w:u w:val="single"/>
        </w:rPr>
        <w:t>deposited</w:t>
      </w:r>
      <w:r w:rsidRPr="00157A9E">
        <w:rPr>
          <w:rFonts w:ascii="Arial" w:hAnsi="Arial" w:cs="Arial"/>
          <w:sz w:val="24"/>
          <w:u w:val="single"/>
        </w:rPr>
        <w:t xml:space="preserve"> the deposit of</w:t>
      </w:r>
      <w:r w:rsidRPr="00157A9E">
        <w:rPr>
          <w:rFonts w:ascii="Arial" w:hAnsi="Arial" w:cs="Arial"/>
          <w:sz w:val="24"/>
        </w:rPr>
        <w:t xml:space="preserve"> those funds into various accounts in St. Martin. Fathi Yusuf then </w:t>
      </w:r>
      <w:r w:rsidRPr="00157A9E">
        <w:rPr>
          <w:rFonts w:ascii="Arial" w:hAnsi="Arial" w:cs="Arial"/>
          <w:sz w:val="24"/>
          <w:u w:val="single"/>
        </w:rPr>
        <w:t>directed the process by which he, Waleed Hamed</w:t>
      </w:r>
      <w:r w:rsidRPr="00157A9E">
        <w:rPr>
          <w:rFonts w:ascii="Arial" w:hAnsi="Arial" w:cs="Arial"/>
          <w:sz w:val="24"/>
        </w:rPr>
        <w:t xml:space="preserve"> and Isam Yousuf then transferred the partnership’s funds</w:t>
      </w:r>
      <w:r>
        <w:rPr>
          <w:rFonts w:ascii="Arial" w:hAnsi="Arial" w:cs="Arial"/>
          <w:sz w:val="24"/>
        </w:rPr>
        <w:t>. . . .”</w:t>
      </w:r>
    </w:p>
    <w:p w14:paraId="39132EBB" w14:textId="77777777" w:rsidR="00AD20ED" w:rsidRDefault="00AD20ED" w:rsidP="00157A9E">
      <w:pPr>
        <w:pStyle w:val="FootnoteText"/>
        <w:jc w:val="both"/>
        <w:outlineLvl w:val="0"/>
      </w:pPr>
    </w:p>
  </w:footnote>
  <w:footnote w:id="20">
    <w:p w14:paraId="258E4F6B" w14:textId="17565174" w:rsidR="00AD20ED" w:rsidRDefault="00AD20ED" w:rsidP="00AD20ED">
      <w:pPr>
        <w:pStyle w:val="FootnoteText"/>
        <w:jc w:val="both"/>
        <w:outlineLvl w:val="0"/>
        <w:rPr>
          <w:rFonts w:ascii="Arial" w:hAnsi="Arial" w:cs="Arial"/>
          <w:sz w:val="24"/>
        </w:rPr>
      </w:pPr>
      <w:r w:rsidRPr="00AD20ED">
        <w:rPr>
          <w:rStyle w:val="FootnoteReference"/>
          <w:rFonts w:ascii="Arial" w:hAnsi="Arial" w:cs="Arial"/>
          <w:sz w:val="24"/>
        </w:rPr>
        <w:footnoteRef/>
      </w:r>
      <w:r w:rsidRPr="00AD20ED">
        <w:rPr>
          <w:rFonts w:ascii="Arial" w:hAnsi="Arial" w:cs="Arial"/>
          <w:sz w:val="24"/>
        </w:rPr>
        <w:t xml:space="preserve"> 79. Indeed, the Fathi Yusuf and the other Defendants were wrongfully attempting to hide the fact that Fathi Yusuf </w:t>
      </w:r>
      <w:r w:rsidRPr="00AD20ED">
        <w:rPr>
          <w:rFonts w:ascii="Arial" w:hAnsi="Arial" w:cs="Arial"/>
          <w:dstrike/>
          <w:sz w:val="24"/>
        </w:rPr>
        <w:t>was the real plaintiff in interest – and that Manal Yousef had not personally contacted counsel in the USVI to represent her alleged interests</w:t>
      </w:r>
      <w:r>
        <w:rPr>
          <w:rFonts w:ascii="Arial" w:hAnsi="Arial" w:cs="Arial"/>
          <w:dstrike/>
          <w:sz w:val="24"/>
        </w:rPr>
        <w:t xml:space="preserve"> </w:t>
      </w:r>
      <w:r w:rsidRPr="00AD20ED">
        <w:rPr>
          <w:rFonts w:ascii="Arial" w:hAnsi="Arial" w:cs="Arial"/>
          <w:sz w:val="24"/>
          <w:u w:val="single"/>
        </w:rPr>
        <w:t>and his family members were trying to steal the Land</w:t>
      </w:r>
      <w:r w:rsidRPr="00AD20ED">
        <w:rPr>
          <w:rFonts w:ascii="Arial" w:hAnsi="Arial" w:cs="Arial"/>
          <w:sz w:val="24"/>
        </w:rPr>
        <w:t xml:space="preserve">. </w:t>
      </w:r>
    </w:p>
    <w:p w14:paraId="12F4B2FE" w14:textId="77777777" w:rsidR="009D07B0" w:rsidRPr="009D07B0" w:rsidRDefault="009D07B0" w:rsidP="00AD20ED">
      <w:pPr>
        <w:pStyle w:val="FootnoteText"/>
        <w:jc w:val="both"/>
        <w:outlineLvl w:val="0"/>
        <w:rPr>
          <w:rFonts w:ascii="Arial" w:hAnsi="Arial" w:cs="Arial"/>
          <w:sz w:val="10"/>
          <w:szCs w:val="10"/>
        </w:rPr>
      </w:pPr>
    </w:p>
    <w:p w14:paraId="4C3638E2" w14:textId="66BA44F7" w:rsidR="00AD20ED" w:rsidRDefault="00AD20ED" w:rsidP="00AD20ED">
      <w:pPr>
        <w:pStyle w:val="FootnoteText"/>
        <w:jc w:val="both"/>
        <w:outlineLvl w:val="0"/>
      </w:pPr>
      <w:r w:rsidRPr="00AD20ED">
        <w:rPr>
          <w:rFonts w:ascii="Arial" w:hAnsi="Arial" w:cs="Arial"/>
          <w:sz w:val="24"/>
        </w:rPr>
        <w:t xml:space="preserve">   80. To further this Plan, Fathi Yusuf </w:t>
      </w:r>
      <w:r w:rsidRPr="00AD20ED">
        <w:rPr>
          <w:rFonts w:ascii="Arial" w:hAnsi="Arial" w:cs="Arial"/>
          <w:dstrike/>
          <w:sz w:val="24"/>
        </w:rPr>
        <w:t>retained</w:t>
      </w:r>
      <w:r w:rsidRPr="00AD20ED">
        <w:rPr>
          <w:rFonts w:ascii="Arial" w:hAnsi="Arial" w:cs="Arial"/>
          <w:sz w:val="24"/>
        </w:rPr>
        <w:t xml:space="preserve"> </w:t>
      </w:r>
      <w:r w:rsidRPr="007E2374">
        <w:rPr>
          <w:rFonts w:ascii="Arial" w:hAnsi="Arial" w:cs="Arial"/>
          <w:sz w:val="24"/>
          <w:u w:val="single"/>
        </w:rPr>
        <w:t xml:space="preserve">provided Manal Yousef and Isam Yousuf </w:t>
      </w:r>
      <w:r w:rsidR="0066667C">
        <w:rPr>
          <w:rFonts w:ascii="Arial" w:hAnsi="Arial" w:cs="Arial"/>
          <w:sz w:val="24"/>
          <w:u w:val="single"/>
        </w:rPr>
        <w:t>w</w:t>
      </w:r>
      <w:r w:rsidR="0066667C" w:rsidRPr="007E2374">
        <w:rPr>
          <w:rFonts w:ascii="Arial" w:hAnsi="Arial" w:cs="Arial"/>
          <w:sz w:val="24"/>
          <w:u w:val="single"/>
        </w:rPr>
        <w:t>ith</w:t>
      </w:r>
      <w:r w:rsidRPr="007E2374">
        <w:rPr>
          <w:rFonts w:ascii="Arial" w:hAnsi="Arial" w:cs="Arial"/>
          <w:sz w:val="24"/>
          <w:u w:val="single"/>
        </w:rPr>
        <w:t xml:space="preserve"> funds to pay</w:t>
      </w:r>
      <w:r w:rsidRPr="00AD20ED">
        <w:rPr>
          <w:rFonts w:ascii="Arial" w:hAnsi="Arial" w:cs="Arial"/>
          <w:sz w:val="24"/>
        </w:rPr>
        <w:t xml:space="preserve"> USVI counsel to </w:t>
      </w:r>
      <w:r w:rsidRPr="007E2374">
        <w:rPr>
          <w:rFonts w:ascii="Arial" w:hAnsi="Arial" w:cs="Arial"/>
          <w:dstrike/>
          <w:sz w:val="24"/>
        </w:rPr>
        <w:t>represent him “acting” as Manal Yousef</w:t>
      </w:r>
      <w:r w:rsidR="007E2374">
        <w:rPr>
          <w:rFonts w:ascii="Arial" w:hAnsi="Arial" w:cs="Arial"/>
          <w:dstrike/>
          <w:sz w:val="24"/>
        </w:rPr>
        <w:t xml:space="preserve"> </w:t>
      </w:r>
      <w:r w:rsidRPr="007E2374">
        <w:rPr>
          <w:rFonts w:ascii="Arial" w:hAnsi="Arial" w:cs="Arial"/>
          <w:sz w:val="24"/>
          <w:u w:val="single"/>
        </w:rPr>
        <w:t>represent the interests of the</w:t>
      </w:r>
      <w:r w:rsidRPr="00AD20ED">
        <w:rPr>
          <w:rFonts w:ascii="Arial" w:hAnsi="Arial" w:cs="Arial"/>
          <w:sz w:val="24"/>
        </w:rPr>
        <w:t xml:space="preserve"> </w:t>
      </w:r>
      <w:r w:rsidRPr="007E2374">
        <w:rPr>
          <w:rFonts w:ascii="Arial" w:hAnsi="Arial" w:cs="Arial"/>
          <w:dstrike/>
          <w:sz w:val="24"/>
        </w:rPr>
        <w:t>-- and then represented to the USVI Court that Manal Yousef had retained USVI counsel, when she had not in fact done so. He did not disclose that the suit was actually being brought by him, that he was the true party in interest, or the existence of the wrongfully undisclosed power of attorney</w:t>
      </w:r>
      <w:r w:rsidRPr="00AD20ED">
        <w:rPr>
          <w:rFonts w:ascii="Arial" w:hAnsi="Arial" w:cs="Arial"/>
          <w:sz w:val="24"/>
        </w:rPr>
        <w:t xml:space="preserve"> </w:t>
      </w:r>
      <w:r w:rsidRPr="007E2374">
        <w:rPr>
          <w:rFonts w:ascii="Arial" w:hAnsi="Arial" w:cs="Arial"/>
          <w:sz w:val="24"/>
          <w:u w:val="single"/>
        </w:rPr>
        <w:t>conspiracy</w:t>
      </w:r>
      <w:r w:rsidRPr="00AD20ED">
        <w:rPr>
          <w:rFonts w:ascii="Arial" w:hAnsi="Arial" w:cs="Arial"/>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805D" w14:textId="5EE26C74" w:rsidR="002976F0" w:rsidRPr="002976F0" w:rsidRDefault="002976F0">
    <w:pPr>
      <w:pStyle w:val="Header"/>
      <w:rPr>
        <w:sz w:val="20"/>
        <w:szCs w:val="20"/>
      </w:rPr>
    </w:pPr>
    <w:r w:rsidRPr="002976F0">
      <w:rPr>
        <w:sz w:val="20"/>
        <w:szCs w:val="20"/>
      </w:rPr>
      <w:t xml:space="preserve">Hamed’s </w:t>
    </w:r>
    <w:r w:rsidR="00754200">
      <w:rPr>
        <w:sz w:val="20"/>
        <w:szCs w:val="20"/>
      </w:rPr>
      <w:t>R</w:t>
    </w:r>
    <w:r w:rsidR="007E07FF">
      <w:rPr>
        <w:sz w:val="20"/>
        <w:szCs w:val="20"/>
      </w:rPr>
      <w:t>eply</w:t>
    </w:r>
    <w:r w:rsidR="00C915CF">
      <w:rPr>
        <w:sz w:val="20"/>
        <w:szCs w:val="20"/>
      </w:rPr>
      <w:t xml:space="preserve"> </w:t>
    </w:r>
    <w:r w:rsidR="007C2BDC">
      <w:rPr>
        <w:sz w:val="20"/>
        <w:szCs w:val="20"/>
      </w:rPr>
      <w:t xml:space="preserve">(to Fathi Yusuf) </w:t>
    </w:r>
    <w:r w:rsidR="00C915CF">
      <w:rPr>
        <w:sz w:val="20"/>
        <w:szCs w:val="20"/>
      </w:rPr>
      <w:t xml:space="preserve">re his </w:t>
    </w:r>
    <w:r w:rsidR="003D3913">
      <w:rPr>
        <w:sz w:val="20"/>
        <w:szCs w:val="20"/>
      </w:rPr>
      <w:t>Motion to Amend the FAC to Join Manal Yousef</w:t>
    </w:r>
  </w:p>
  <w:p w14:paraId="4F294BED" w14:textId="0A6C656F" w:rsidR="002976F0" w:rsidRDefault="002976F0">
    <w:pPr>
      <w:pStyle w:val="Header"/>
      <w:rPr>
        <w:noProof/>
      </w:rPr>
    </w:pPr>
    <w:r w:rsidRPr="002976F0">
      <w:rPr>
        <w:sz w:val="20"/>
        <w:szCs w:val="20"/>
      </w:rPr>
      <w:t xml:space="preserve">Page </w:t>
    </w:r>
    <w:r w:rsidRPr="002976F0">
      <w:rPr>
        <w:sz w:val="20"/>
        <w:szCs w:val="20"/>
      </w:rPr>
      <w:fldChar w:fldCharType="begin"/>
    </w:r>
    <w:r w:rsidRPr="002976F0">
      <w:rPr>
        <w:sz w:val="20"/>
        <w:szCs w:val="20"/>
      </w:rPr>
      <w:instrText xml:space="preserve"> PAGE   \* MERGEFORMAT </w:instrText>
    </w:r>
    <w:r w:rsidRPr="002976F0">
      <w:rPr>
        <w:sz w:val="20"/>
        <w:szCs w:val="20"/>
      </w:rPr>
      <w:fldChar w:fldCharType="separate"/>
    </w:r>
    <w:r w:rsidRPr="002976F0">
      <w:rPr>
        <w:noProof/>
        <w:sz w:val="20"/>
        <w:szCs w:val="20"/>
      </w:rPr>
      <w:t>1</w:t>
    </w:r>
    <w:r w:rsidRPr="002976F0">
      <w:rPr>
        <w:noProof/>
        <w:sz w:val="20"/>
        <w:szCs w:val="20"/>
      </w:rPr>
      <w:fldChar w:fldCharType="end"/>
    </w:r>
  </w:p>
  <w:p w14:paraId="420538BD" w14:textId="77777777" w:rsidR="002976F0" w:rsidRDefault="00297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8885" w14:textId="5620E77A" w:rsidR="002949ED" w:rsidRPr="007E07FF" w:rsidRDefault="007E07FF" w:rsidP="007E07FF">
    <w:pPr>
      <w:pStyle w:val="Header"/>
      <w:jc w:val="center"/>
      <w:rPr>
        <w:b/>
        <w:bCs/>
      </w:rPr>
    </w:pPr>
    <w:r w:rsidRPr="007E07FF">
      <w:rPr>
        <w:b/>
        <w:bCs/>
      </w:rPr>
      <w:t>IN THE SUPERIOR COURT OF THE VIRGIN ISLAND</w:t>
    </w:r>
  </w:p>
  <w:p w14:paraId="475D207E" w14:textId="7116DFAC" w:rsidR="007E07FF" w:rsidRDefault="007E07FF" w:rsidP="007E07FF">
    <w:pPr>
      <w:pStyle w:val="Header"/>
      <w:jc w:val="center"/>
      <w:rPr>
        <w:b/>
        <w:bCs/>
      </w:rPr>
    </w:pPr>
    <w:r w:rsidRPr="007E07FF">
      <w:rPr>
        <w:b/>
        <w:bCs/>
      </w:rPr>
      <w:t>DISTRICT OF ST. CROIX</w:t>
    </w:r>
  </w:p>
  <w:p w14:paraId="158FC14C" w14:textId="46F7452B" w:rsidR="007E07FF" w:rsidRDefault="007E07FF" w:rsidP="007E07FF">
    <w:pPr>
      <w:pStyle w:val="Header"/>
      <w:jc w:val="center"/>
      <w:rPr>
        <w:b/>
        <w:bCs/>
      </w:rPr>
    </w:pPr>
  </w:p>
  <w:p w14:paraId="1725642E" w14:textId="77777777" w:rsidR="007E07FF" w:rsidRPr="007E07FF" w:rsidRDefault="007E07FF" w:rsidP="007E07FF">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F1C"/>
    <w:multiLevelType w:val="hybridMultilevel"/>
    <w:tmpl w:val="8DBA7C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56AA0"/>
    <w:multiLevelType w:val="hybridMultilevel"/>
    <w:tmpl w:val="DD1C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60485"/>
    <w:multiLevelType w:val="hybridMultilevel"/>
    <w:tmpl w:val="31C84E74"/>
    <w:lvl w:ilvl="0" w:tplc="26526C0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290B48"/>
    <w:multiLevelType w:val="hybridMultilevel"/>
    <w:tmpl w:val="616CF51E"/>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4" w15:restartNumberingAfterBreak="0">
    <w:nsid w:val="133E723F"/>
    <w:multiLevelType w:val="hybridMultilevel"/>
    <w:tmpl w:val="FF4C90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20F79"/>
    <w:multiLevelType w:val="hybridMultilevel"/>
    <w:tmpl w:val="EC2C1ABE"/>
    <w:lvl w:ilvl="0" w:tplc="832499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156E8"/>
    <w:multiLevelType w:val="hybridMultilevel"/>
    <w:tmpl w:val="2E80498C"/>
    <w:lvl w:ilvl="0" w:tplc="0330C826">
      <w:start w:val="1"/>
      <w:numFmt w:val="decimal"/>
      <w:lvlText w:val="%1."/>
      <w:lvlJc w:val="left"/>
      <w:pPr>
        <w:ind w:left="1650" w:hanging="285"/>
      </w:pPr>
      <w:rPr>
        <w:rFonts w:ascii="Arial" w:eastAsia="Times New Roman" w:hAnsi="Arial" w:cs="Arial"/>
        <w:b w:val="0"/>
        <w:bCs w:val="0"/>
        <w:i w:val="0"/>
        <w:iCs w:val="0"/>
        <w:spacing w:val="-7"/>
        <w:w w:val="102"/>
        <w:sz w:val="22"/>
        <w:szCs w:val="22"/>
        <w:lang w:val="en-US" w:eastAsia="en-US" w:bidi="ar-SA"/>
      </w:rPr>
    </w:lvl>
    <w:lvl w:ilvl="1" w:tplc="CEF08D90">
      <w:start w:val="1"/>
      <w:numFmt w:val="lowerRoman"/>
      <w:lvlText w:val="%2."/>
      <w:lvlJc w:val="left"/>
      <w:pPr>
        <w:ind w:left="2849" w:hanging="724"/>
      </w:pPr>
      <w:rPr>
        <w:rFonts w:ascii="Arial" w:eastAsia="Arial" w:hAnsi="Arial" w:cs="Arial" w:hint="default"/>
        <w:b w:val="0"/>
        <w:bCs w:val="0"/>
        <w:i w:val="0"/>
        <w:iCs w:val="0"/>
        <w:spacing w:val="-1"/>
        <w:w w:val="100"/>
        <w:sz w:val="24"/>
        <w:szCs w:val="24"/>
        <w:lang w:val="en-US" w:eastAsia="en-US" w:bidi="ar-SA"/>
      </w:rPr>
    </w:lvl>
    <w:lvl w:ilvl="2" w:tplc="71845E46">
      <w:numFmt w:val="bullet"/>
      <w:lvlText w:val="•"/>
      <w:lvlJc w:val="left"/>
      <w:pPr>
        <w:ind w:left="3638" w:hanging="724"/>
      </w:pPr>
      <w:rPr>
        <w:rFonts w:hint="default"/>
        <w:lang w:val="en-US" w:eastAsia="en-US" w:bidi="ar-SA"/>
      </w:rPr>
    </w:lvl>
    <w:lvl w:ilvl="3" w:tplc="160A062C">
      <w:numFmt w:val="bullet"/>
      <w:lvlText w:val="•"/>
      <w:lvlJc w:val="left"/>
      <w:pPr>
        <w:ind w:left="4427" w:hanging="724"/>
      </w:pPr>
      <w:rPr>
        <w:rFonts w:hint="default"/>
        <w:lang w:val="en-US" w:eastAsia="en-US" w:bidi="ar-SA"/>
      </w:rPr>
    </w:lvl>
    <w:lvl w:ilvl="4" w:tplc="097C3544">
      <w:numFmt w:val="bullet"/>
      <w:lvlText w:val="•"/>
      <w:lvlJc w:val="left"/>
      <w:pPr>
        <w:ind w:left="5216" w:hanging="724"/>
      </w:pPr>
      <w:rPr>
        <w:rFonts w:hint="default"/>
        <w:lang w:val="en-US" w:eastAsia="en-US" w:bidi="ar-SA"/>
      </w:rPr>
    </w:lvl>
    <w:lvl w:ilvl="5" w:tplc="DD30F758">
      <w:numFmt w:val="bullet"/>
      <w:lvlText w:val="•"/>
      <w:lvlJc w:val="left"/>
      <w:pPr>
        <w:ind w:left="6005" w:hanging="724"/>
      </w:pPr>
      <w:rPr>
        <w:rFonts w:hint="default"/>
        <w:lang w:val="en-US" w:eastAsia="en-US" w:bidi="ar-SA"/>
      </w:rPr>
    </w:lvl>
    <w:lvl w:ilvl="6" w:tplc="858A8938">
      <w:numFmt w:val="bullet"/>
      <w:lvlText w:val="•"/>
      <w:lvlJc w:val="left"/>
      <w:pPr>
        <w:ind w:left="6794" w:hanging="724"/>
      </w:pPr>
      <w:rPr>
        <w:rFonts w:hint="default"/>
        <w:lang w:val="en-US" w:eastAsia="en-US" w:bidi="ar-SA"/>
      </w:rPr>
    </w:lvl>
    <w:lvl w:ilvl="7" w:tplc="B98250BE">
      <w:numFmt w:val="bullet"/>
      <w:lvlText w:val="•"/>
      <w:lvlJc w:val="left"/>
      <w:pPr>
        <w:ind w:left="7583" w:hanging="724"/>
      </w:pPr>
      <w:rPr>
        <w:rFonts w:hint="default"/>
        <w:lang w:val="en-US" w:eastAsia="en-US" w:bidi="ar-SA"/>
      </w:rPr>
    </w:lvl>
    <w:lvl w:ilvl="8" w:tplc="FE06CEE0">
      <w:numFmt w:val="bullet"/>
      <w:lvlText w:val="•"/>
      <w:lvlJc w:val="left"/>
      <w:pPr>
        <w:ind w:left="8372" w:hanging="724"/>
      </w:pPr>
      <w:rPr>
        <w:rFonts w:hint="default"/>
        <w:lang w:val="en-US" w:eastAsia="en-US" w:bidi="ar-SA"/>
      </w:rPr>
    </w:lvl>
  </w:abstractNum>
  <w:abstractNum w:abstractNumId="7" w15:restartNumberingAfterBreak="0">
    <w:nsid w:val="1A6D722D"/>
    <w:multiLevelType w:val="hybridMultilevel"/>
    <w:tmpl w:val="F1109892"/>
    <w:lvl w:ilvl="0" w:tplc="EC424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B5511"/>
    <w:multiLevelType w:val="hybridMultilevel"/>
    <w:tmpl w:val="16E23DFA"/>
    <w:lvl w:ilvl="0" w:tplc="6C28A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137090"/>
    <w:multiLevelType w:val="hybridMultilevel"/>
    <w:tmpl w:val="BB80B13C"/>
    <w:lvl w:ilvl="0" w:tplc="D3B46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D1FB5"/>
    <w:multiLevelType w:val="hybridMultilevel"/>
    <w:tmpl w:val="EBD265EE"/>
    <w:lvl w:ilvl="0" w:tplc="57E0C0E0">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000DE0"/>
    <w:multiLevelType w:val="hybridMultilevel"/>
    <w:tmpl w:val="616CF51E"/>
    <w:lvl w:ilvl="0" w:tplc="0F06AE18">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2" w15:restartNumberingAfterBreak="0">
    <w:nsid w:val="2AEC4CAE"/>
    <w:multiLevelType w:val="hybridMultilevel"/>
    <w:tmpl w:val="05143788"/>
    <w:lvl w:ilvl="0" w:tplc="A66887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E6589B"/>
    <w:multiLevelType w:val="hybridMultilevel"/>
    <w:tmpl w:val="9BD0029C"/>
    <w:lvl w:ilvl="0" w:tplc="4C0CE7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992789"/>
    <w:multiLevelType w:val="hybridMultilevel"/>
    <w:tmpl w:val="23C489B4"/>
    <w:lvl w:ilvl="0" w:tplc="D9821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B87A5B"/>
    <w:multiLevelType w:val="hybridMultilevel"/>
    <w:tmpl w:val="78386DCC"/>
    <w:lvl w:ilvl="0" w:tplc="C756B7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975E5C"/>
    <w:multiLevelType w:val="hybridMultilevel"/>
    <w:tmpl w:val="46C0918A"/>
    <w:lvl w:ilvl="0" w:tplc="9CB66A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9900E9"/>
    <w:multiLevelType w:val="hybridMultilevel"/>
    <w:tmpl w:val="8DBA7C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2E4A62"/>
    <w:multiLevelType w:val="hybridMultilevel"/>
    <w:tmpl w:val="B2BED492"/>
    <w:lvl w:ilvl="0" w:tplc="80745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AC5735"/>
    <w:multiLevelType w:val="hybridMultilevel"/>
    <w:tmpl w:val="724425F0"/>
    <w:lvl w:ilvl="0" w:tplc="C7BA9E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D397CD4"/>
    <w:multiLevelType w:val="hybridMultilevel"/>
    <w:tmpl w:val="27AC6F4C"/>
    <w:lvl w:ilvl="0" w:tplc="0ABC3580">
      <w:numFmt w:val="bullet"/>
      <w:lvlText w:val="-"/>
      <w:lvlJc w:val="left"/>
      <w:pPr>
        <w:tabs>
          <w:tab w:val="num" w:pos="1080"/>
        </w:tabs>
        <w:ind w:left="1080" w:hanging="360"/>
      </w:pPr>
      <w:rPr>
        <w:rFonts w:ascii="Mangal" w:eastAsia="Times New Roman" w:hAnsi="Mang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63DC8"/>
    <w:multiLevelType w:val="hybridMultilevel"/>
    <w:tmpl w:val="DA1E4D3C"/>
    <w:lvl w:ilvl="0" w:tplc="31CE0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1937"/>
    <w:multiLevelType w:val="hybridMultilevel"/>
    <w:tmpl w:val="3C6C8304"/>
    <w:lvl w:ilvl="0" w:tplc="5BFA0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40986"/>
    <w:multiLevelType w:val="hybridMultilevel"/>
    <w:tmpl w:val="131A1A8A"/>
    <w:lvl w:ilvl="0" w:tplc="6248E1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B63F2"/>
    <w:multiLevelType w:val="hybridMultilevel"/>
    <w:tmpl w:val="F89CFC0C"/>
    <w:lvl w:ilvl="0" w:tplc="ADB6AFCE">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F2CF1"/>
    <w:multiLevelType w:val="hybridMultilevel"/>
    <w:tmpl w:val="59A694EC"/>
    <w:lvl w:ilvl="0" w:tplc="CDCED296">
      <w:start w:val="3"/>
      <w:numFmt w:val="lowerLetter"/>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05FE8"/>
    <w:multiLevelType w:val="hybridMultilevel"/>
    <w:tmpl w:val="615A1E0A"/>
    <w:lvl w:ilvl="0" w:tplc="E8B89F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5B48C2"/>
    <w:multiLevelType w:val="hybridMultilevel"/>
    <w:tmpl w:val="1DFE1056"/>
    <w:lvl w:ilvl="0" w:tplc="B1628C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600B78"/>
    <w:multiLevelType w:val="hybridMultilevel"/>
    <w:tmpl w:val="26E6B9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E0B4D"/>
    <w:multiLevelType w:val="hybridMultilevel"/>
    <w:tmpl w:val="403A3F0E"/>
    <w:lvl w:ilvl="0" w:tplc="F0220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01C07"/>
    <w:multiLevelType w:val="hybridMultilevel"/>
    <w:tmpl w:val="3F8C548C"/>
    <w:lvl w:ilvl="0" w:tplc="A4F4A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D5931"/>
    <w:multiLevelType w:val="hybridMultilevel"/>
    <w:tmpl w:val="06BE05EE"/>
    <w:lvl w:ilvl="0" w:tplc="7D6650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7F0CA0"/>
    <w:multiLevelType w:val="hybridMultilevel"/>
    <w:tmpl w:val="24B20D8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6D56F8"/>
    <w:multiLevelType w:val="hybridMultilevel"/>
    <w:tmpl w:val="75525CAC"/>
    <w:lvl w:ilvl="0" w:tplc="0CDCBD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1293410"/>
    <w:multiLevelType w:val="hybridMultilevel"/>
    <w:tmpl w:val="FE9EA678"/>
    <w:lvl w:ilvl="0" w:tplc="24AE9E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5A6885"/>
    <w:multiLevelType w:val="hybridMultilevel"/>
    <w:tmpl w:val="BF500A64"/>
    <w:lvl w:ilvl="0" w:tplc="47561B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FB587D"/>
    <w:multiLevelType w:val="hybridMultilevel"/>
    <w:tmpl w:val="3D3EE16A"/>
    <w:lvl w:ilvl="0" w:tplc="57E2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100C61"/>
    <w:multiLevelType w:val="hybridMultilevel"/>
    <w:tmpl w:val="766EF630"/>
    <w:lvl w:ilvl="0" w:tplc="929871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042DF0"/>
    <w:multiLevelType w:val="hybridMultilevel"/>
    <w:tmpl w:val="8DBA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70E4C"/>
    <w:multiLevelType w:val="hybridMultilevel"/>
    <w:tmpl w:val="227A22DE"/>
    <w:lvl w:ilvl="0" w:tplc="73F871C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A77BC"/>
    <w:multiLevelType w:val="hybridMultilevel"/>
    <w:tmpl w:val="5AC21880"/>
    <w:lvl w:ilvl="0" w:tplc="2DE63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687B04"/>
    <w:multiLevelType w:val="hybridMultilevel"/>
    <w:tmpl w:val="B28AC6CA"/>
    <w:lvl w:ilvl="0" w:tplc="1F2079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CC0D32"/>
    <w:multiLevelType w:val="hybridMultilevel"/>
    <w:tmpl w:val="E2F0B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E3E82"/>
    <w:multiLevelType w:val="hybridMultilevel"/>
    <w:tmpl w:val="0802B83A"/>
    <w:lvl w:ilvl="0" w:tplc="B98EFCD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B4EA6"/>
    <w:multiLevelType w:val="hybridMultilevel"/>
    <w:tmpl w:val="9E12ACEC"/>
    <w:lvl w:ilvl="0" w:tplc="DFE6F7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824FB2"/>
    <w:multiLevelType w:val="hybridMultilevel"/>
    <w:tmpl w:val="C9183868"/>
    <w:lvl w:ilvl="0" w:tplc="5AEC72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2741521">
    <w:abstractNumId w:val="2"/>
  </w:num>
  <w:num w:numId="2" w16cid:durableId="1368943162">
    <w:abstractNumId w:val="20"/>
  </w:num>
  <w:num w:numId="3" w16cid:durableId="1507942981">
    <w:abstractNumId w:val="21"/>
  </w:num>
  <w:num w:numId="4" w16cid:durableId="997265514">
    <w:abstractNumId w:val="39"/>
  </w:num>
  <w:num w:numId="5" w16cid:durableId="1793983458">
    <w:abstractNumId w:val="36"/>
  </w:num>
  <w:num w:numId="6" w16cid:durableId="1834251538">
    <w:abstractNumId w:val="33"/>
  </w:num>
  <w:num w:numId="7" w16cid:durableId="281111298">
    <w:abstractNumId w:val="1"/>
  </w:num>
  <w:num w:numId="8" w16cid:durableId="2143233693">
    <w:abstractNumId w:val="4"/>
  </w:num>
  <w:num w:numId="9" w16cid:durableId="335499450">
    <w:abstractNumId w:val="22"/>
  </w:num>
  <w:num w:numId="10" w16cid:durableId="1097990942">
    <w:abstractNumId w:val="18"/>
  </w:num>
  <w:num w:numId="11" w16cid:durableId="229198723">
    <w:abstractNumId w:val="28"/>
  </w:num>
  <w:num w:numId="12" w16cid:durableId="227424239">
    <w:abstractNumId w:val="32"/>
  </w:num>
  <w:num w:numId="13" w16cid:durableId="1026831184">
    <w:abstractNumId w:val="23"/>
  </w:num>
  <w:num w:numId="14" w16cid:durableId="1256205564">
    <w:abstractNumId w:val="30"/>
  </w:num>
  <w:num w:numId="15" w16cid:durableId="1955284910">
    <w:abstractNumId w:val="43"/>
  </w:num>
  <w:num w:numId="16" w16cid:durableId="477113486">
    <w:abstractNumId w:val="14"/>
  </w:num>
  <w:num w:numId="17" w16cid:durableId="1513497618">
    <w:abstractNumId w:val="11"/>
  </w:num>
  <w:num w:numId="18" w16cid:durableId="711928196">
    <w:abstractNumId w:val="15"/>
  </w:num>
  <w:num w:numId="19" w16cid:durableId="1613390715">
    <w:abstractNumId w:val="13"/>
  </w:num>
  <w:num w:numId="20" w16cid:durableId="1241721672">
    <w:abstractNumId w:val="40"/>
  </w:num>
  <w:num w:numId="21" w16cid:durableId="131949083">
    <w:abstractNumId w:val="3"/>
  </w:num>
  <w:num w:numId="22" w16cid:durableId="96222133">
    <w:abstractNumId w:val="25"/>
  </w:num>
  <w:num w:numId="23" w16cid:durableId="223444391">
    <w:abstractNumId w:val="5"/>
  </w:num>
  <w:num w:numId="24" w16cid:durableId="1383673924">
    <w:abstractNumId w:val="44"/>
  </w:num>
  <w:num w:numId="25" w16cid:durableId="980384737">
    <w:abstractNumId w:val="37"/>
  </w:num>
  <w:num w:numId="26" w16cid:durableId="1906911627">
    <w:abstractNumId w:val="29"/>
  </w:num>
  <w:num w:numId="27" w16cid:durableId="804007453">
    <w:abstractNumId w:val="31"/>
  </w:num>
  <w:num w:numId="28" w16cid:durableId="307515422">
    <w:abstractNumId w:val="27"/>
  </w:num>
  <w:num w:numId="29" w16cid:durableId="452599570">
    <w:abstractNumId w:val="45"/>
  </w:num>
  <w:num w:numId="30" w16cid:durableId="1472018240">
    <w:abstractNumId w:val="16"/>
  </w:num>
  <w:num w:numId="31" w16cid:durableId="841287006">
    <w:abstractNumId w:val="41"/>
  </w:num>
  <w:num w:numId="32" w16cid:durableId="381057136">
    <w:abstractNumId w:val="10"/>
  </w:num>
  <w:num w:numId="33" w16cid:durableId="341904183">
    <w:abstractNumId w:val="7"/>
  </w:num>
  <w:num w:numId="34" w16cid:durableId="302194559">
    <w:abstractNumId w:val="42"/>
  </w:num>
  <w:num w:numId="35" w16cid:durableId="312417085">
    <w:abstractNumId w:val="8"/>
  </w:num>
  <w:num w:numId="36" w16cid:durableId="1604534671">
    <w:abstractNumId w:val="24"/>
  </w:num>
  <w:num w:numId="37" w16cid:durableId="3939384">
    <w:abstractNumId w:val="38"/>
  </w:num>
  <w:num w:numId="38" w16cid:durableId="455635241">
    <w:abstractNumId w:val="0"/>
  </w:num>
  <w:num w:numId="39" w16cid:durableId="1540439042">
    <w:abstractNumId w:val="19"/>
  </w:num>
  <w:num w:numId="40" w16cid:durableId="1155147454">
    <w:abstractNumId w:val="26"/>
  </w:num>
  <w:num w:numId="41" w16cid:durableId="1946229872">
    <w:abstractNumId w:val="35"/>
  </w:num>
  <w:num w:numId="42" w16cid:durableId="944309707">
    <w:abstractNumId w:val="6"/>
  </w:num>
  <w:num w:numId="43" w16cid:durableId="2113012754">
    <w:abstractNumId w:val="12"/>
  </w:num>
  <w:num w:numId="44" w16cid:durableId="253174665">
    <w:abstractNumId w:val="17"/>
  </w:num>
  <w:num w:numId="45" w16cid:durableId="2109421604">
    <w:abstractNumId w:val="9"/>
  </w:num>
  <w:num w:numId="46" w16cid:durableId="110719253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72"/>
    <w:rsid w:val="00000BF6"/>
    <w:rsid w:val="000026B0"/>
    <w:rsid w:val="000031AC"/>
    <w:rsid w:val="00011161"/>
    <w:rsid w:val="000128E8"/>
    <w:rsid w:val="00015E91"/>
    <w:rsid w:val="000162D0"/>
    <w:rsid w:val="0001798E"/>
    <w:rsid w:val="00017A10"/>
    <w:rsid w:val="00021241"/>
    <w:rsid w:val="000275D1"/>
    <w:rsid w:val="00027652"/>
    <w:rsid w:val="0003051C"/>
    <w:rsid w:val="00033207"/>
    <w:rsid w:val="00040FE5"/>
    <w:rsid w:val="000428EE"/>
    <w:rsid w:val="00042F59"/>
    <w:rsid w:val="0004301D"/>
    <w:rsid w:val="00064C05"/>
    <w:rsid w:val="00076BF2"/>
    <w:rsid w:val="000775B4"/>
    <w:rsid w:val="00082BBC"/>
    <w:rsid w:val="000A2139"/>
    <w:rsid w:val="000A3992"/>
    <w:rsid w:val="000A7D63"/>
    <w:rsid w:val="000B1046"/>
    <w:rsid w:val="000B2D36"/>
    <w:rsid w:val="000B3479"/>
    <w:rsid w:val="000B5891"/>
    <w:rsid w:val="000C40D7"/>
    <w:rsid w:val="000D2A30"/>
    <w:rsid w:val="000E3665"/>
    <w:rsid w:val="000E5495"/>
    <w:rsid w:val="000E6322"/>
    <w:rsid w:val="000F0203"/>
    <w:rsid w:val="000F78EF"/>
    <w:rsid w:val="001017FD"/>
    <w:rsid w:val="00106CDB"/>
    <w:rsid w:val="001259BB"/>
    <w:rsid w:val="00134ADD"/>
    <w:rsid w:val="001372F6"/>
    <w:rsid w:val="00143484"/>
    <w:rsid w:val="00144097"/>
    <w:rsid w:val="00146687"/>
    <w:rsid w:val="001535B1"/>
    <w:rsid w:val="00157A9E"/>
    <w:rsid w:val="001645A3"/>
    <w:rsid w:val="00165F72"/>
    <w:rsid w:val="00167E93"/>
    <w:rsid w:val="00170720"/>
    <w:rsid w:val="00170E29"/>
    <w:rsid w:val="00180F1A"/>
    <w:rsid w:val="001812B3"/>
    <w:rsid w:val="0018655A"/>
    <w:rsid w:val="00192F1E"/>
    <w:rsid w:val="00197FCC"/>
    <w:rsid w:val="001A05A0"/>
    <w:rsid w:val="001A2E75"/>
    <w:rsid w:val="001B6F51"/>
    <w:rsid w:val="001C27C1"/>
    <w:rsid w:val="001C75D3"/>
    <w:rsid w:val="001D3672"/>
    <w:rsid w:val="001D3D7B"/>
    <w:rsid w:val="001D6695"/>
    <w:rsid w:val="00202D45"/>
    <w:rsid w:val="00212EA8"/>
    <w:rsid w:val="002146C8"/>
    <w:rsid w:val="00217A73"/>
    <w:rsid w:val="00224C22"/>
    <w:rsid w:val="00224EB5"/>
    <w:rsid w:val="00227B69"/>
    <w:rsid w:val="00230301"/>
    <w:rsid w:val="002376E5"/>
    <w:rsid w:val="00237A68"/>
    <w:rsid w:val="002415E6"/>
    <w:rsid w:val="0024271D"/>
    <w:rsid w:val="0024320A"/>
    <w:rsid w:val="0024795F"/>
    <w:rsid w:val="00266F9A"/>
    <w:rsid w:val="00282A95"/>
    <w:rsid w:val="00286F18"/>
    <w:rsid w:val="002938D9"/>
    <w:rsid w:val="002949ED"/>
    <w:rsid w:val="002976F0"/>
    <w:rsid w:val="002A0854"/>
    <w:rsid w:val="002A5DBE"/>
    <w:rsid w:val="002A63CA"/>
    <w:rsid w:val="002A6DC6"/>
    <w:rsid w:val="002B0303"/>
    <w:rsid w:val="002B2A3C"/>
    <w:rsid w:val="002B5B09"/>
    <w:rsid w:val="002C70FB"/>
    <w:rsid w:val="002D03B9"/>
    <w:rsid w:val="002D0E3C"/>
    <w:rsid w:val="002D4A01"/>
    <w:rsid w:val="002D730C"/>
    <w:rsid w:val="002E1AF8"/>
    <w:rsid w:val="002F06B6"/>
    <w:rsid w:val="002F0F33"/>
    <w:rsid w:val="002F2146"/>
    <w:rsid w:val="002F3D36"/>
    <w:rsid w:val="003065FE"/>
    <w:rsid w:val="003103C7"/>
    <w:rsid w:val="003129DA"/>
    <w:rsid w:val="00317D97"/>
    <w:rsid w:val="00321DDD"/>
    <w:rsid w:val="00322299"/>
    <w:rsid w:val="00333068"/>
    <w:rsid w:val="00343AB0"/>
    <w:rsid w:val="00345733"/>
    <w:rsid w:val="00353AE4"/>
    <w:rsid w:val="003555D8"/>
    <w:rsid w:val="00357730"/>
    <w:rsid w:val="0036771D"/>
    <w:rsid w:val="00377B8D"/>
    <w:rsid w:val="0038257A"/>
    <w:rsid w:val="003833E1"/>
    <w:rsid w:val="0039100A"/>
    <w:rsid w:val="00393954"/>
    <w:rsid w:val="003B12E6"/>
    <w:rsid w:val="003C2FA4"/>
    <w:rsid w:val="003D2B4E"/>
    <w:rsid w:val="003D3913"/>
    <w:rsid w:val="003D47BD"/>
    <w:rsid w:val="003D78E8"/>
    <w:rsid w:val="003D79D1"/>
    <w:rsid w:val="004014A7"/>
    <w:rsid w:val="00403FA4"/>
    <w:rsid w:val="004114C6"/>
    <w:rsid w:val="00414D93"/>
    <w:rsid w:val="00417AEF"/>
    <w:rsid w:val="00422499"/>
    <w:rsid w:val="004465A5"/>
    <w:rsid w:val="004506E6"/>
    <w:rsid w:val="00456055"/>
    <w:rsid w:val="004564FA"/>
    <w:rsid w:val="00456D1A"/>
    <w:rsid w:val="00463954"/>
    <w:rsid w:val="00465642"/>
    <w:rsid w:val="00467FBC"/>
    <w:rsid w:val="00482F63"/>
    <w:rsid w:val="0049034B"/>
    <w:rsid w:val="00492D20"/>
    <w:rsid w:val="00494701"/>
    <w:rsid w:val="00496A50"/>
    <w:rsid w:val="004A0257"/>
    <w:rsid w:val="004A24F2"/>
    <w:rsid w:val="004A4798"/>
    <w:rsid w:val="004C3194"/>
    <w:rsid w:val="004C3DB7"/>
    <w:rsid w:val="004C7C97"/>
    <w:rsid w:val="004F143C"/>
    <w:rsid w:val="004F527C"/>
    <w:rsid w:val="004F5F36"/>
    <w:rsid w:val="00500EFA"/>
    <w:rsid w:val="00501CB5"/>
    <w:rsid w:val="00501F01"/>
    <w:rsid w:val="00515D8C"/>
    <w:rsid w:val="0052049A"/>
    <w:rsid w:val="00527356"/>
    <w:rsid w:val="00527A09"/>
    <w:rsid w:val="005401D9"/>
    <w:rsid w:val="00542281"/>
    <w:rsid w:val="005434E0"/>
    <w:rsid w:val="00546375"/>
    <w:rsid w:val="00550B22"/>
    <w:rsid w:val="005571F4"/>
    <w:rsid w:val="00557402"/>
    <w:rsid w:val="00561A82"/>
    <w:rsid w:val="00561B56"/>
    <w:rsid w:val="0056292C"/>
    <w:rsid w:val="005752F4"/>
    <w:rsid w:val="00581225"/>
    <w:rsid w:val="00581D86"/>
    <w:rsid w:val="00586FA6"/>
    <w:rsid w:val="005A0523"/>
    <w:rsid w:val="005A14BF"/>
    <w:rsid w:val="005B08A7"/>
    <w:rsid w:val="005B1149"/>
    <w:rsid w:val="005C76C0"/>
    <w:rsid w:val="005D2BEF"/>
    <w:rsid w:val="005D31E5"/>
    <w:rsid w:val="005E0003"/>
    <w:rsid w:val="005E72CE"/>
    <w:rsid w:val="005F03D6"/>
    <w:rsid w:val="005F3725"/>
    <w:rsid w:val="005F69BB"/>
    <w:rsid w:val="006047DF"/>
    <w:rsid w:val="0060640A"/>
    <w:rsid w:val="00606CC9"/>
    <w:rsid w:val="006123D3"/>
    <w:rsid w:val="00625071"/>
    <w:rsid w:val="00630C57"/>
    <w:rsid w:val="0063504C"/>
    <w:rsid w:val="00635BAF"/>
    <w:rsid w:val="0064424F"/>
    <w:rsid w:val="0064603D"/>
    <w:rsid w:val="006474F7"/>
    <w:rsid w:val="00654BED"/>
    <w:rsid w:val="006609A9"/>
    <w:rsid w:val="00661E0F"/>
    <w:rsid w:val="0066667C"/>
    <w:rsid w:val="00667ECE"/>
    <w:rsid w:val="00674853"/>
    <w:rsid w:val="00681DF5"/>
    <w:rsid w:val="006832C2"/>
    <w:rsid w:val="00687FFD"/>
    <w:rsid w:val="00690C75"/>
    <w:rsid w:val="006A0C00"/>
    <w:rsid w:val="006A7C08"/>
    <w:rsid w:val="006B00BA"/>
    <w:rsid w:val="006B55DD"/>
    <w:rsid w:val="006D1AF2"/>
    <w:rsid w:val="006D2B98"/>
    <w:rsid w:val="006D5959"/>
    <w:rsid w:val="006D7116"/>
    <w:rsid w:val="006D7753"/>
    <w:rsid w:val="006E08E1"/>
    <w:rsid w:val="006E3395"/>
    <w:rsid w:val="006E5678"/>
    <w:rsid w:val="006F2130"/>
    <w:rsid w:val="006F466B"/>
    <w:rsid w:val="0070199B"/>
    <w:rsid w:val="00702CEE"/>
    <w:rsid w:val="00703564"/>
    <w:rsid w:val="00707A47"/>
    <w:rsid w:val="00735A71"/>
    <w:rsid w:val="00747AFD"/>
    <w:rsid w:val="00754200"/>
    <w:rsid w:val="00755452"/>
    <w:rsid w:val="007715BE"/>
    <w:rsid w:val="007739A9"/>
    <w:rsid w:val="00774A14"/>
    <w:rsid w:val="00780851"/>
    <w:rsid w:val="00790D8B"/>
    <w:rsid w:val="00797AEA"/>
    <w:rsid w:val="007A6AA5"/>
    <w:rsid w:val="007B04CA"/>
    <w:rsid w:val="007C0F53"/>
    <w:rsid w:val="007C26BD"/>
    <w:rsid w:val="007C2BDC"/>
    <w:rsid w:val="007D13FB"/>
    <w:rsid w:val="007E07FF"/>
    <w:rsid w:val="007E2374"/>
    <w:rsid w:val="007E6613"/>
    <w:rsid w:val="00803AFF"/>
    <w:rsid w:val="00804B0E"/>
    <w:rsid w:val="008065AB"/>
    <w:rsid w:val="00812207"/>
    <w:rsid w:val="00814B49"/>
    <w:rsid w:val="00826D4C"/>
    <w:rsid w:val="00831FE5"/>
    <w:rsid w:val="008324C5"/>
    <w:rsid w:val="008326B0"/>
    <w:rsid w:val="00833EAB"/>
    <w:rsid w:val="0083486A"/>
    <w:rsid w:val="00835828"/>
    <w:rsid w:val="008363EA"/>
    <w:rsid w:val="008418BA"/>
    <w:rsid w:val="0085092E"/>
    <w:rsid w:val="00856302"/>
    <w:rsid w:val="00865F8E"/>
    <w:rsid w:val="00870D25"/>
    <w:rsid w:val="008735D9"/>
    <w:rsid w:val="00876F9C"/>
    <w:rsid w:val="008856E8"/>
    <w:rsid w:val="00885BD0"/>
    <w:rsid w:val="0089735D"/>
    <w:rsid w:val="008A16CD"/>
    <w:rsid w:val="008A471F"/>
    <w:rsid w:val="008A725E"/>
    <w:rsid w:val="008B11F9"/>
    <w:rsid w:val="008B25D1"/>
    <w:rsid w:val="008B717C"/>
    <w:rsid w:val="008C1A94"/>
    <w:rsid w:val="008D363B"/>
    <w:rsid w:val="008E040B"/>
    <w:rsid w:val="008E1CDC"/>
    <w:rsid w:val="008E2F20"/>
    <w:rsid w:val="008E5216"/>
    <w:rsid w:val="0090548A"/>
    <w:rsid w:val="00905663"/>
    <w:rsid w:val="00914545"/>
    <w:rsid w:val="0092172F"/>
    <w:rsid w:val="00931920"/>
    <w:rsid w:val="00931938"/>
    <w:rsid w:val="0094149F"/>
    <w:rsid w:val="009418CF"/>
    <w:rsid w:val="00942876"/>
    <w:rsid w:val="009472C2"/>
    <w:rsid w:val="00947CD0"/>
    <w:rsid w:val="009575C2"/>
    <w:rsid w:val="00961E56"/>
    <w:rsid w:val="00962401"/>
    <w:rsid w:val="0096577B"/>
    <w:rsid w:val="00967B03"/>
    <w:rsid w:val="00983758"/>
    <w:rsid w:val="009930B4"/>
    <w:rsid w:val="009A088E"/>
    <w:rsid w:val="009A6549"/>
    <w:rsid w:val="009B3FD2"/>
    <w:rsid w:val="009C05CC"/>
    <w:rsid w:val="009C1AD5"/>
    <w:rsid w:val="009C219E"/>
    <w:rsid w:val="009C6F00"/>
    <w:rsid w:val="009D07B0"/>
    <w:rsid w:val="009D282F"/>
    <w:rsid w:val="009D6559"/>
    <w:rsid w:val="009E1A1B"/>
    <w:rsid w:val="009E3A7A"/>
    <w:rsid w:val="009E5554"/>
    <w:rsid w:val="009F0BB6"/>
    <w:rsid w:val="009F2AB4"/>
    <w:rsid w:val="00A05D4B"/>
    <w:rsid w:val="00A07690"/>
    <w:rsid w:val="00A07DAD"/>
    <w:rsid w:val="00A13BCC"/>
    <w:rsid w:val="00A17BD5"/>
    <w:rsid w:val="00A23FEF"/>
    <w:rsid w:val="00A27451"/>
    <w:rsid w:val="00A30A84"/>
    <w:rsid w:val="00A349BB"/>
    <w:rsid w:val="00A35B89"/>
    <w:rsid w:val="00A40FA1"/>
    <w:rsid w:val="00A4189E"/>
    <w:rsid w:val="00A41A39"/>
    <w:rsid w:val="00A61AA6"/>
    <w:rsid w:val="00A67BC1"/>
    <w:rsid w:val="00AB50C4"/>
    <w:rsid w:val="00AC136A"/>
    <w:rsid w:val="00AC48C0"/>
    <w:rsid w:val="00AD20ED"/>
    <w:rsid w:val="00AD452A"/>
    <w:rsid w:val="00AF11AF"/>
    <w:rsid w:val="00AF2E0C"/>
    <w:rsid w:val="00AF78AD"/>
    <w:rsid w:val="00B0438B"/>
    <w:rsid w:val="00B04805"/>
    <w:rsid w:val="00B054A8"/>
    <w:rsid w:val="00B05AA4"/>
    <w:rsid w:val="00B161D7"/>
    <w:rsid w:val="00B171A5"/>
    <w:rsid w:val="00B30407"/>
    <w:rsid w:val="00B370E9"/>
    <w:rsid w:val="00B447DB"/>
    <w:rsid w:val="00B50143"/>
    <w:rsid w:val="00B67A5F"/>
    <w:rsid w:val="00B70E5E"/>
    <w:rsid w:val="00B713FA"/>
    <w:rsid w:val="00B74216"/>
    <w:rsid w:val="00B82634"/>
    <w:rsid w:val="00B94E5A"/>
    <w:rsid w:val="00B95972"/>
    <w:rsid w:val="00BA081B"/>
    <w:rsid w:val="00BA3449"/>
    <w:rsid w:val="00BB3F88"/>
    <w:rsid w:val="00BC05EF"/>
    <w:rsid w:val="00BC1150"/>
    <w:rsid w:val="00BC4009"/>
    <w:rsid w:val="00BD0537"/>
    <w:rsid w:val="00BD1C87"/>
    <w:rsid w:val="00BD7388"/>
    <w:rsid w:val="00BF5230"/>
    <w:rsid w:val="00BF691D"/>
    <w:rsid w:val="00BF6E28"/>
    <w:rsid w:val="00C01181"/>
    <w:rsid w:val="00C1407C"/>
    <w:rsid w:val="00C220F6"/>
    <w:rsid w:val="00C344DF"/>
    <w:rsid w:val="00C40730"/>
    <w:rsid w:val="00C45455"/>
    <w:rsid w:val="00C616DD"/>
    <w:rsid w:val="00C61F95"/>
    <w:rsid w:val="00C63DBE"/>
    <w:rsid w:val="00C648E6"/>
    <w:rsid w:val="00C67CB2"/>
    <w:rsid w:val="00C717D2"/>
    <w:rsid w:val="00C831DD"/>
    <w:rsid w:val="00C915CF"/>
    <w:rsid w:val="00C9205B"/>
    <w:rsid w:val="00CA16BA"/>
    <w:rsid w:val="00CA7FFD"/>
    <w:rsid w:val="00CB0500"/>
    <w:rsid w:val="00CC0C67"/>
    <w:rsid w:val="00CC747E"/>
    <w:rsid w:val="00CC76DD"/>
    <w:rsid w:val="00CD2969"/>
    <w:rsid w:val="00CD2B4C"/>
    <w:rsid w:val="00CD376C"/>
    <w:rsid w:val="00CD3D4A"/>
    <w:rsid w:val="00CD463F"/>
    <w:rsid w:val="00CE7B71"/>
    <w:rsid w:val="00CF0A15"/>
    <w:rsid w:val="00CF5DE8"/>
    <w:rsid w:val="00D03E6E"/>
    <w:rsid w:val="00D16813"/>
    <w:rsid w:val="00D21053"/>
    <w:rsid w:val="00D33399"/>
    <w:rsid w:val="00D3423D"/>
    <w:rsid w:val="00D50613"/>
    <w:rsid w:val="00D51274"/>
    <w:rsid w:val="00D70038"/>
    <w:rsid w:val="00D73176"/>
    <w:rsid w:val="00D744FD"/>
    <w:rsid w:val="00D91BF5"/>
    <w:rsid w:val="00DC24A2"/>
    <w:rsid w:val="00DC2DDD"/>
    <w:rsid w:val="00DC6A24"/>
    <w:rsid w:val="00DD0184"/>
    <w:rsid w:val="00DD3CD7"/>
    <w:rsid w:val="00DD3E4D"/>
    <w:rsid w:val="00DD4934"/>
    <w:rsid w:val="00DD5AB9"/>
    <w:rsid w:val="00DD7754"/>
    <w:rsid w:val="00DE5F4B"/>
    <w:rsid w:val="00DF2DFA"/>
    <w:rsid w:val="00DF3B7A"/>
    <w:rsid w:val="00E001DA"/>
    <w:rsid w:val="00E14533"/>
    <w:rsid w:val="00E15CDD"/>
    <w:rsid w:val="00E217D5"/>
    <w:rsid w:val="00E2649E"/>
    <w:rsid w:val="00E30273"/>
    <w:rsid w:val="00E376F9"/>
    <w:rsid w:val="00E47232"/>
    <w:rsid w:val="00E50C3E"/>
    <w:rsid w:val="00E617CA"/>
    <w:rsid w:val="00E61ADE"/>
    <w:rsid w:val="00E6323B"/>
    <w:rsid w:val="00E635C2"/>
    <w:rsid w:val="00E659DE"/>
    <w:rsid w:val="00E67CDB"/>
    <w:rsid w:val="00E71F01"/>
    <w:rsid w:val="00E72B67"/>
    <w:rsid w:val="00E75BE0"/>
    <w:rsid w:val="00E84492"/>
    <w:rsid w:val="00E916A0"/>
    <w:rsid w:val="00EA37CC"/>
    <w:rsid w:val="00EB3182"/>
    <w:rsid w:val="00EB43EC"/>
    <w:rsid w:val="00EC3506"/>
    <w:rsid w:val="00EC674A"/>
    <w:rsid w:val="00EC7B01"/>
    <w:rsid w:val="00ED014A"/>
    <w:rsid w:val="00ED2661"/>
    <w:rsid w:val="00ED6C0F"/>
    <w:rsid w:val="00EE03DC"/>
    <w:rsid w:val="00EE6656"/>
    <w:rsid w:val="00EF75BF"/>
    <w:rsid w:val="00F06095"/>
    <w:rsid w:val="00F11FFB"/>
    <w:rsid w:val="00F14926"/>
    <w:rsid w:val="00F202FD"/>
    <w:rsid w:val="00F226EC"/>
    <w:rsid w:val="00F3463D"/>
    <w:rsid w:val="00F35A5E"/>
    <w:rsid w:val="00F37FA1"/>
    <w:rsid w:val="00F41866"/>
    <w:rsid w:val="00F42D09"/>
    <w:rsid w:val="00F432D2"/>
    <w:rsid w:val="00F444AA"/>
    <w:rsid w:val="00F5359C"/>
    <w:rsid w:val="00F56847"/>
    <w:rsid w:val="00F579FD"/>
    <w:rsid w:val="00F608DC"/>
    <w:rsid w:val="00F72A05"/>
    <w:rsid w:val="00F80CE6"/>
    <w:rsid w:val="00F9005A"/>
    <w:rsid w:val="00F9540A"/>
    <w:rsid w:val="00FA3437"/>
    <w:rsid w:val="00FA70EC"/>
    <w:rsid w:val="00FD72E4"/>
    <w:rsid w:val="00FE3194"/>
    <w:rsid w:val="00FE53A8"/>
    <w:rsid w:val="00FF15F9"/>
    <w:rsid w:val="00FF29E4"/>
    <w:rsid w:val="00FF437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D4BC"/>
  <w15:chartTrackingRefBased/>
  <w15:docId w15:val="{E3654373-2853-E642-9685-0D008BD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D2"/>
    <w:rPr>
      <w:rFonts w:ascii="Arial" w:eastAsia="Times New Roman" w:hAnsi="Arial" w:cs="Times New Roman"/>
      <w:lang w:val="en-US"/>
    </w:rPr>
  </w:style>
  <w:style w:type="paragraph" w:styleId="Heading1">
    <w:name w:val="heading 1"/>
    <w:basedOn w:val="Normal"/>
    <w:next w:val="Normal"/>
    <w:link w:val="Heading1Char"/>
    <w:uiPriority w:val="9"/>
    <w:qFormat/>
    <w:rsid w:val="00165F7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7035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0C40D7"/>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F72"/>
    <w:rPr>
      <w:rFonts w:ascii="Arial" w:eastAsiaTheme="majorEastAsia" w:hAnsi="Arial" w:cstheme="majorBidi"/>
      <w:b/>
      <w:bCs/>
      <w:color w:val="000000" w:themeColor="text1"/>
      <w:sz w:val="28"/>
      <w:szCs w:val="28"/>
      <w:lang w:val="en-US"/>
    </w:rPr>
  </w:style>
  <w:style w:type="paragraph" w:customStyle="1" w:styleId="yiv784145645msonormal">
    <w:name w:val="yiv784145645msonormal"/>
    <w:basedOn w:val="Normal"/>
    <w:rsid w:val="00165F72"/>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165F72"/>
    <w:rPr>
      <w:color w:val="0563C1" w:themeColor="hyperlink"/>
      <w:u w:val="single"/>
    </w:rPr>
  </w:style>
  <w:style w:type="paragraph" w:styleId="Footer">
    <w:name w:val="footer"/>
    <w:basedOn w:val="Normal"/>
    <w:link w:val="FooterChar"/>
    <w:uiPriority w:val="99"/>
    <w:unhideWhenUsed/>
    <w:rsid w:val="00165F72"/>
    <w:pPr>
      <w:tabs>
        <w:tab w:val="center" w:pos="4680"/>
        <w:tab w:val="right" w:pos="9360"/>
      </w:tabs>
    </w:pPr>
  </w:style>
  <w:style w:type="character" w:customStyle="1" w:styleId="FooterChar">
    <w:name w:val="Footer Char"/>
    <w:basedOn w:val="DefaultParagraphFont"/>
    <w:link w:val="Footer"/>
    <w:uiPriority w:val="99"/>
    <w:rsid w:val="00165F72"/>
    <w:rPr>
      <w:rFonts w:ascii="Arial" w:eastAsia="Times New Roman" w:hAnsi="Arial" w:cs="Times New Roman"/>
      <w:lang w:val="en-US"/>
    </w:rPr>
  </w:style>
  <w:style w:type="character" w:styleId="PageNumber">
    <w:name w:val="page number"/>
    <w:basedOn w:val="DefaultParagraphFont"/>
    <w:uiPriority w:val="99"/>
    <w:semiHidden/>
    <w:unhideWhenUsed/>
    <w:rsid w:val="00165F72"/>
  </w:style>
  <w:style w:type="character" w:styleId="UnresolvedMention">
    <w:name w:val="Unresolved Mention"/>
    <w:basedOn w:val="DefaultParagraphFont"/>
    <w:uiPriority w:val="99"/>
    <w:semiHidden/>
    <w:unhideWhenUsed/>
    <w:rsid w:val="008B717C"/>
    <w:rPr>
      <w:color w:val="605E5C"/>
      <w:shd w:val="clear" w:color="auto" w:fill="E1DFDD"/>
    </w:rPr>
  </w:style>
  <w:style w:type="character" w:customStyle="1" w:styleId="Heading4Char">
    <w:name w:val="Heading 4 Char"/>
    <w:basedOn w:val="DefaultParagraphFont"/>
    <w:link w:val="Heading4"/>
    <w:uiPriority w:val="9"/>
    <w:rsid w:val="000C40D7"/>
    <w:rPr>
      <w:rFonts w:asciiTheme="majorHAnsi" w:eastAsiaTheme="majorEastAsia" w:hAnsiTheme="majorHAnsi" w:cstheme="majorBidi"/>
      <w:i/>
      <w:iCs/>
      <w:color w:val="2F5496" w:themeColor="accent1" w:themeShade="BF"/>
      <w:sz w:val="22"/>
      <w:szCs w:val="22"/>
      <w:lang w:val="en-US"/>
    </w:rPr>
  </w:style>
  <w:style w:type="paragraph" w:styleId="ListParagraph">
    <w:name w:val="List Paragraph"/>
    <w:basedOn w:val="Normal"/>
    <w:uiPriority w:val="1"/>
    <w:qFormat/>
    <w:rsid w:val="002976F0"/>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2976F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976F0"/>
    <w:rPr>
      <w:sz w:val="20"/>
      <w:szCs w:val="20"/>
      <w:lang w:val="en-US"/>
    </w:rPr>
  </w:style>
  <w:style w:type="character" w:styleId="FootnoteReference">
    <w:name w:val="footnote reference"/>
    <w:basedOn w:val="DefaultParagraphFont"/>
    <w:uiPriority w:val="99"/>
    <w:semiHidden/>
    <w:unhideWhenUsed/>
    <w:rsid w:val="002976F0"/>
    <w:rPr>
      <w:vertAlign w:val="superscript"/>
    </w:rPr>
  </w:style>
  <w:style w:type="paragraph" w:customStyle="1" w:styleId="Default">
    <w:name w:val="Default"/>
    <w:rsid w:val="002976F0"/>
    <w:pPr>
      <w:autoSpaceDE w:val="0"/>
      <w:autoSpaceDN w:val="0"/>
      <w:adjustRightInd w:val="0"/>
    </w:pPr>
    <w:rPr>
      <w:rFonts w:ascii="Times New Roman" w:hAnsi="Times New Roman" w:cs="Times New Roman"/>
      <w:color w:val="000000"/>
      <w:lang w:val="en-US"/>
    </w:rPr>
  </w:style>
  <w:style w:type="paragraph" w:styleId="Header">
    <w:name w:val="header"/>
    <w:basedOn w:val="Normal"/>
    <w:link w:val="HeaderChar"/>
    <w:uiPriority w:val="99"/>
    <w:unhideWhenUsed/>
    <w:rsid w:val="002976F0"/>
    <w:pPr>
      <w:tabs>
        <w:tab w:val="center" w:pos="4680"/>
        <w:tab w:val="right" w:pos="9360"/>
      </w:tabs>
    </w:pPr>
  </w:style>
  <w:style w:type="character" w:customStyle="1" w:styleId="HeaderChar">
    <w:name w:val="Header Char"/>
    <w:basedOn w:val="DefaultParagraphFont"/>
    <w:link w:val="Header"/>
    <w:uiPriority w:val="99"/>
    <w:rsid w:val="002976F0"/>
    <w:rPr>
      <w:rFonts w:ascii="Arial" w:eastAsia="Times New Roman" w:hAnsi="Arial" w:cs="Times New Roman"/>
      <w:lang w:val="en-US"/>
    </w:rPr>
  </w:style>
  <w:style w:type="character" w:customStyle="1" w:styleId="Heading2Char">
    <w:name w:val="Heading 2 Char"/>
    <w:basedOn w:val="DefaultParagraphFont"/>
    <w:link w:val="Heading2"/>
    <w:uiPriority w:val="9"/>
    <w:semiHidden/>
    <w:rsid w:val="00703564"/>
    <w:rPr>
      <w:rFonts w:asciiTheme="majorHAnsi" w:eastAsiaTheme="majorEastAsia" w:hAnsiTheme="majorHAnsi" w:cstheme="majorBidi"/>
      <w:color w:val="2F5496" w:themeColor="accent1" w:themeShade="BF"/>
      <w:sz w:val="26"/>
      <w:szCs w:val="26"/>
      <w:lang w:val="en-US"/>
    </w:rPr>
  </w:style>
  <w:style w:type="character" w:customStyle="1" w:styleId="sssh">
    <w:name w:val="ss_sh"/>
    <w:basedOn w:val="DefaultParagraphFont"/>
    <w:rsid w:val="0018655A"/>
  </w:style>
  <w:style w:type="character" w:customStyle="1" w:styleId="ssit">
    <w:name w:val="ss_it"/>
    <w:basedOn w:val="DefaultParagraphFont"/>
    <w:rsid w:val="0094149F"/>
  </w:style>
  <w:style w:type="character" w:customStyle="1" w:styleId="ssrfcsection">
    <w:name w:val="ss_rfcsection"/>
    <w:basedOn w:val="DefaultParagraphFont"/>
    <w:rsid w:val="0063504C"/>
  </w:style>
  <w:style w:type="character" w:styleId="Strong">
    <w:name w:val="Strong"/>
    <w:basedOn w:val="DefaultParagraphFont"/>
    <w:uiPriority w:val="22"/>
    <w:qFormat/>
    <w:rsid w:val="004A0257"/>
    <w:rPr>
      <w:b/>
      <w:bCs/>
    </w:rPr>
  </w:style>
  <w:style w:type="character" w:customStyle="1" w:styleId="ssrfcpassagedeactivated">
    <w:name w:val="ss_rfcpassage_deactivated"/>
    <w:basedOn w:val="DefaultParagraphFont"/>
    <w:rsid w:val="00353AE4"/>
  </w:style>
  <w:style w:type="paragraph" w:styleId="NormalWeb">
    <w:name w:val="Normal (Web)"/>
    <w:basedOn w:val="Normal"/>
    <w:uiPriority w:val="99"/>
    <w:unhideWhenUsed/>
    <w:rsid w:val="000E6322"/>
    <w:pPr>
      <w:spacing w:before="100" w:beforeAutospacing="1" w:after="100" w:afterAutospacing="1"/>
    </w:pPr>
    <w:rPr>
      <w:rFonts w:ascii="Times New Roman" w:hAnsi="Times New Roman"/>
    </w:rPr>
  </w:style>
  <w:style w:type="character" w:customStyle="1" w:styleId="sh1768352402">
    <w:name w:val="sh_1768352402"/>
    <w:basedOn w:val="DefaultParagraphFont"/>
    <w:rsid w:val="005F69BB"/>
  </w:style>
  <w:style w:type="character" w:customStyle="1" w:styleId="ssun">
    <w:name w:val="ss_un"/>
    <w:basedOn w:val="DefaultParagraphFont"/>
    <w:rsid w:val="005F69BB"/>
  </w:style>
  <w:style w:type="character" w:customStyle="1" w:styleId="sh3500254742">
    <w:name w:val="sh_3500254742"/>
    <w:basedOn w:val="DefaultParagraphFont"/>
    <w:rsid w:val="005F69BB"/>
  </w:style>
  <w:style w:type="paragraph" w:styleId="BodyText">
    <w:name w:val="Body Text"/>
    <w:basedOn w:val="Normal"/>
    <w:link w:val="BodyTextChar"/>
    <w:uiPriority w:val="1"/>
    <w:qFormat/>
    <w:rsid w:val="004465A5"/>
    <w:pPr>
      <w:widowControl w:val="0"/>
      <w:autoSpaceDE w:val="0"/>
      <w:autoSpaceDN w:val="0"/>
    </w:pPr>
    <w:rPr>
      <w:rFonts w:eastAsia="Arial" w:cs="Arial"/>
    </w:rPr>
  </w:style>
  <w:style w:type="character" w:customStyle="1" w:styleId="BodyTextChar">
    <w:name w:val="Body Text Char"/>
    <w:basedOn w:val="DefaultParagraphFont"/>
    <w:link w:val="BodyText"/>
    <w:uiPriority w:val="1"/>
    <w:rsid w:val="004465A5"/>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376">
      <w:bodyDiv w:val="1"/>
      <w:marLeft w:val="0"/>
      <w:marRight w:val="0"/>
      <w:marTop w:val="0"/>
      <w:marBottom w:val="0"/>
      <w:divBdr>
        <w:top w:val="none" w:sz="0" w:space="0" w:color="auto"/>
        <w:left w:val="none" w:sz="0" w:space="0" w:color="auto"/>
        <w:bottom w:val="none" w:sz="0" w:space="0" w:color="auto"/>
        <w:right w:val="none" w:sz="0" w:space="0" w:color="auto"/>
      </w:divBdr>
      <w:divsChild>
        <w:div w:id="939529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52756326">
      <w:bodyDiv w:val="1"/>
      <w:marLeft w:val="0"/>
      <w:marRight w:val="0"/>
      <w:marTop w:val="0"/>
      <w:marBottom w:val="0"/>
      <w:divBdr>
        <w:top w:val="none" w:sz="0" w:space="0" w:color="auto"/>
        <w:left w:val="none" w:sz="0" w:space="0" w:color="auto"/>
        <w:bottom w:val="none" w:sz="0" w:space="0" w:color="auto"/>
        <w:right w:val="none" w:sz="0" w:space="0" w:color="auto"/>
      </w:divBdr>
    </w:div>
    <w:div w:id="19563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96F1-1782-4137-AEF5-060F8DF0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4724</Words>
  <Characters>23763</Characters>
  <Application>Microsoft Office Word</Application>
  <DocSecurity>0</DocSecurity>
  <Lines>475</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Holt</dc:creator>
  <cp:keywords/>
  <dc:description/>
  <cp:lastModifiedBy>Carl Hartmann</cp:lastModifiedBy>
  <cp:revision>3</cp:revision>
  <dcterms:created xsi:type="dcterms:W3CDTF">2023-02-06T16:11:00Z</dcterms:created>
  <dcterms:modified xsi:type="dcterms:W3CDTF">2023-02-06T16:11:00Z</dcterms:modified>
</cp:coreProperties>
</file>